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191135</wp:posOffset>
            </wp:positionH>
            <wp:positionV relativeFrom="page">
              <wp:posOffset>500380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471805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CURRENT REPORT PURSUANT TO</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SECTION 13 OR 15(d) OF THE</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1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May 1, 2026</w:t>
      </w:r>
    </w:p>
    <w:p>
      <w:pPr>
        <w:spacing w:after="0" w:line="1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DiamondRock Hospitality Company</w:t>
      </w:r>
    </w:p>
    <w:p>
      <w:pPr>
        <w:spacing w:after="0" w:line="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pacing w:after="0" w:line="71" w:lineRule="exact"/>
        <w:rPr>
          <w:sz w:val="24"/>
          <w:szCs w:val="24"/>
          <w:color w:val="auto"/>
        </w:rPr>
      </w:pPr>
    </w:p>
    <w:tbl>
      <w:tblPr>
        <w:tblLayout w:type="fixed"/>
        <w:tblInd w:w="1020" w:type="dxa"/>
        <w:tblCellMar>
          <w:top w:w="0" w:type="dxa"/>
          <w:left w:w="0" w:type="dxa"/>
          <w:bottom w:w="0" w:type="dxa"/>
          <w:right w:w="0" w:type="dxa"/>
        </w:tblCellMar>
      </w:tblPr>
      <w:tr>
        <w:trPr>
          <w:trHeight w:val="151"/>
        </w:trPr>
        <w:tc>
          <w:tcPr>
            <w:tcW w:w="2780" w:type="dxa"/>
            <w:vAlign w:val="bottom"/>
          </w:tcPr>
          <w:p>
            <w:pPr>
              <w:jc w:val="center"/>
              <w:ind w:right="1588"/>
              <w:spacing w:after="0"/>
              <w:rPr>
                <w:sz w:val="20"/>
                <w:szCs w:val="20"/>
                <w:color w:val="auto"/>
              </w:rPr>
            </w:pPr>
            <w:r>
              <w:rPr>
                <w:rFonts w:ascii="Times New Roman" w:cs="Times New Roman" w:eastAsia="Times New Roman" w:hAnsi="Times New Roman"/>
                <w:sz w:val="12"/>
                <w:szCs w:val="12"/>
                <w:b w:val="1"/>
                <w:bCs w:val="1"/>
                <w:color w:val="auto"/>
                <w:w w:val="97"/>
              </w:rPr>
              <w:t>Maryland</w:t>
            </w:r>
          </w:p>
        </w:tc>
        <w:tc>
          <w:tcPr>
            <w:tcW w:w="3900" w:type="dxa"/>
            <w:vAlign w:val="bottom"/>
          </w:tcPr>
          <w:p>
            <w:pPr>
              <w:ind w:left="1680"/>
              <w:spacing w:after="0"/>
              <w:rPr>
                <w:sz w:val="20"/>
                <w:szCs w:val="20"/>
                <w:color w:val="auto"/>
              </w:rPr>
            </w:pPr>
            <w:r>
              <w:rPr>
                <w:rFonts w:ascii="Times New Roman" w:cs="Times New Roman" w:eastAsia="Times New Roman" w:hAnsi="Times New Roman"/>
                <w:sz w:val="12"/>
                <w:szCs w:val="12"/>
                <w:b w:val="1"/>
                <w:bCs w:val="1"/>
                <w:color w:val="auto"/>
              </w:rPr>
              <w:t>001-32514</w:t>
            </w:r>
          </w:p>
        </w:tc>
        <w:tc>
          <w:tcPr>
            <w:tcW w:w="2460" w:type="dxa"/>
            <w:vAlign w:val="bottom"/>
          </w:tcPr>
          <w:p>
            <w:pPr>
              <w:jc w:val="center"/>
              <w:ind w:left="1628"/>
              <w:spacing w:after="0"/>
              <w:rPr>
                <w:sz w:val="20"/>
                <w:szCs w:val="20"/>
                <w:color w:val="auto"/>
              </w:rPr>
            </w:pPr>
            <w:r>
              <w:rPr>
                <w:rFonts w:ascii="Times New Roman" w:cs="Times New Roman" w:eastAsia="Times New Roman" w:hAnsi="Times New Roman"/>
                <w:sz w:val="12"/>
                <w:szCs w:val="12"/>
                <w:b w:val="1"/>
                <w:bCs w:val="1"/>
                <w:color w:val="auto"/>
                <w:w w:val="99"/>
              </w:rPr>
              <w:t>20-1180098</w:t>
            </w:r>
          </w:p>
        </w:tc>
      </w:tr>
      <w:tr>
        <w:trPr>
          <w:trHeight w:val="99"/>
        </w:trPr>
        <w:tc>
          <w:tcPr>
            <w:tcW w:w="2780" w:type="dxa"/>
            <w:vAlign w:val="bottom"/>
          </w:tcPr>
          <w:p>
            <w:pPr>
              <w:jc w:val="center"/>
              <w:ind w:right="1588"/>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3900" w:type="dxa"/>
            <w:vAlign w:val="bottom"/>
          </w:tcPr>
          <w:p>
            <w:pPr>
              <w:ind w:left="1660"/>
              <w:spacing w:after="0" w:line="99"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2460" w:type="dxa"/>
            <w:vAlign w:val="bottom"/>
          </w:tcPr>
          <w:p>
            <w:pPr>
              <w:jc w:val="center"/>
              <w:ind w:left="162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2780" w:type="dxa"/>
            <w:vAlign w:val="bottom"/>
          </w:tcPr>
          <w:p>
            <w:pPr>
              <w:jc w:val="center"/>
              <w:ind w:right="1588"/>
              <w:spacing w:after="0"/>
              <w:rPr>
                <w:sz w:val="20"/>
                <w:szCs w:val="20"/>
                <w:color w:val="auto"/>
              </w:rPr>
            </w:pPr>
            <w:r>
              <w:rPr>
                <w:rFonts w:ascii="Times New Roman" w:cs="Times New Roman" w:eastAsia="Times New Roman" w:hAnsi="Times New Roman"/>
                <w:sz w:val="10"/>
                <w:szCs w:val="10"/>
                <w:b w:val="1"/>
                <w:bCs w:val="1"/>
                <w:color w:val="auto"/>
                <w:w w:val="94"/>
              </w:rPr>
              <w:t>of Incorporation)</w:t>
            </w:r>
          </w:p>
        </w:tc>
        <w:tc>
          <w:tcPr>
            <w:tcW w:w="3900" w:type="dxa"/>
            <w:vAlign w:val="bottom"/>
          </w:tcPr>
          <w:p>
            <w:pPr>
              <w:ind w:left="166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2460" w:type="dxa"/>
            <w:vAlign w:val="bottom"/>
          </w:tcPr>
          <w:p>
            <w:pPr>
              <w:jc w:val="center"/>
              <w:ind w:left="164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7373 Wisconsin Avenue, Suite 1900</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Bethesda, MD 20814</w:t>
      </w:r>
    </w:p>
    <w:p>
      <w:pPr>
        <w:jc w:val="center"/>
        <w:ind w:right="-9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1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(240) 744-1150</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89"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96" w:lineRule="exact"/>
        <w:rPr>
          <w:rFonts w:ascii="MS PGothic" w:cs="MS PGothic" w:eastAsia="MS PGothic" w:hAnsi="MS PGothic"/>
          <w:sz w:val="12"/>
          <w:szCs w:val="12"/>
          <w:color w:val="auto"/>
        </w:rPr>
      </w:pPr>
    </w:p>
    <w:p>
      <w:pPr>
        <w:ind w:left="680" w:hanging="676"/>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660" w:hanging="656"/>
        <w:spacing w:after="0"/>
        <w:tabs>
          <w:tab w:leader="none" w:pos="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tcPr>
          <w:p>
            <w:pPr>
              <w:spacing w:after="0"/>
              <w:rPr>
                <w:sz w:val="13"/>
                <w:szCs w:val="13"/>
                <w:color w:val="auto"/>
              </w:rPr>
            </w:pPr>
          </w:p>
        </w:tc>
      </w:tr>
      <w:tr>
        <w:trPr>
          <w:trHeight w:val="234"/>
        </w:trPr>
        <w:tc>
          <w:tcPr>
            <w:tcW w:w="420" w:type="dxa"/>
            <w:vAlign w:val="bottom"/>
          </w:tcPr>
          <w:p>
            <w:pPr>
              <w:spacing w:after="0"/>
              <w:rPr>
                <w:sz w:val="20"/>
                <w:szCs w:val="20"/>
                <w:color w:val="auto"/>
              </w:rPr>
            </w:pP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4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$0.01 par value</w:t>
            </w:r>
          </w:p>
        </w:tc>
        <w:tc>
          <w:tcPr>
            <w:tcW w:w="120" w:type="dxa"/>
            <w:vAlign w:val="bottom"/>
          </w:tcPr>
          <w:p>
            <w:pPr>
              <w:spacing w:after="0"/>
              <w:rPr>
                <w:sz w:val="12"/>
                <w:szCs w:val="12"/>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DRH</w:t>
            </w:r>
          </w:p>
        </w:tc>
        <w:tc>
          <w:tcPr>
            <w:tcW w:w="120" w:type="dxa"/>
            <w:vAlign w:val="bottom"/>
          </w:tcPr>
          <w:p>
            <w:pPr>
              <w:spacing w:after="0"/>
              <w:rPr>
                <w:sz w:val="12"/>
                <w:szCs w:val="12"/>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59" w:lineRule="exact"/>
        <w:rPr>
          <w:sz w:val="24"/>
          <w:szCs w:val="24"/>
          <w:color w:val="auto"/>
        </w:rPr>
      </w:pPr>
    </w:p>
    <w:p>
      <w:pPr>
        <w:ind w:firstLine="27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9" w:lineRule="exact"/>
        <w:rPr>
          <w:sz w:val="24"/>
          <w:szCs w:val="24"/>
          <w:color w:val="auto"/>
        </w:rPr>
      </w:pPr>
    </w:p>
    <w:p>
      <w:pPr>
        <w:ind w:left="500" w:hanging="238"/>
        <w:spacing w:after="0"/>
        <w:tabs>
          <w:tab w:leader="none" w:pos="5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w:t>
      </w:r>
    </w:p>
    <w:p>
      <w:pPr>
        <w:spacing w:after="0" w:line="168" w:lineRule="exact"/>
        <w:rPr>
          <w:sz w:val="24"/>
          <w:szCs w:val="24"/>
          <w:color w:val="auto"/>
        </w:rPr>
      </w:pPr>
    </w:p>
    <w:p>
      <w:pPr>
        <w:ind w:right="160" w:firstLine="27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1039495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223520</wp:posOffset>
            </wp:positionV>
            <wp:extent cx="716661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6610" cy="114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206375</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1200"/>
          </w:cols>
          <w:pgMar w:left="300" w:top="837" w:right="399" w:bottom="1440" w:gutter="0" w:footer="0" w:header="0"/>
        </w:sectPr>
      </w:pPr>
    </w:p>
    <w:bookmarkStart w:id="1" w:name="page2"/>
    <w:bookmarkEnd w:id="1"/>
    <w:p>
      <w:pPr>
        <w:jc w:val="both"/>
        <w:spacing w:after="0" w:line="244" w:lineRule="auto"/>
        <w:rPr>
          <w:sz w:val="20"/>
          <w:szCs w:val="20"/>
          <w:color w:val="auto"/>
        </w:rPr>
      </w:pPr>
      <w:r>
        <w:rPr>
          <w:rFonts w:ascii="Times New Roman" w:cs="Times New Roman" w:eastAsia="Times New Roman" w:hAnsi="Times New Roman"/>
          <w:sz w:val="13"/>
          <w:szCs w:val="13"/>
          <w:i w:val="1"/>
          <w:iCs w:val="1"/>
          <w:color w:val="auto"/>
        </w:rPr>
        <w:t>This Current Report on Form 8-K (“Current Report”)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described from time to time in our filings with the Securities and Exchange Commission, including our Annual Report on Form 10-K filed on February 27, 2026 and our Quarterly Report on Form 10-Q filed on April 30, 2026.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3"/>
          <w:szCs w:val="13"/>
          <w:color w:val="auto"/>
        </w:rPr>
        <w:t>On May 4, 2026, DiamondRock Hospitality Company (the “Company”) issued a press release announcing the sale of leasehold interest in the Courtyard by Marriott New York Manhattan/Fifth Avenue. A copy of the press release is furnished as Exhibit 99.1 to this Current Report and is hereby incorporated by reference herein. The press release has also been posted in the investor relations/press releases section of the Company’s website at www.drhc.com.</w:t>
      </w:r>
    </w:p>
    <w:p>
      <w:pPr>
        <w:spacing w:after="0" w:line="12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A copy of a slide presentation that the Company intends to use at investor meetings is attached to this Current Report as Exhibit 99.2 and is incorporated by reference herein. Additionally, the Company has posted the slide presentation in the investor relations/presentations section of its website at www.drhc.com.</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information in this Item 7.01 of this Current Report, including Exhibits 99.1 and 99.2 attached hereto, is being furnished and shall not be deemed “filed” for purposes of Section 18 of the Securities Exchange Act of 1934, as amended (the “Exchange Act”), or otherwise subject to the liabilities of such section. The information in this Item 7.01 of this Current Report, including Exhibits 99.1 and 99.2, shall not be incorporated by reference into any filing under the Securities Act of 1933, as amended, or the Exchange Act, regardless of any incorporation by reference language in any such filing. This Current Report will not be deemed an admission as to the materiality of any information in this Current Report that is required to be disclosed solely by Regulation FD.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May 1, 2026, the Company completed the sale of its leasehold interest in the 189-room Courtyard by Marriott New York Manhattan/Fifth Avenue for a sales price of $33.0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exhibits are included with this report: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Exhibit No. Description</w:t>
      </w:r>
    </w:p>
    <w:p>
      <w:pPr>
        <w:spacing w:after="0" w:line="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FF"/>
        </w:rPr>
        <w:t>Press Release, dated May 4, 2026</w:t>
      </w:r>
    </w:p>
    <w:p>
      <w:pPr>
        <w:spacing w:after="0" w:line="230" w:lineRule="auto"/>
        <w:tabs>
          <w:tab w:leader="none" w:pos="3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3"/>
          <w:szCs w:val="13"/>
          <w:color w:val="0000FF"/>
        </w:rPr>
        <w:t>Investor Presentation - May 2026</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134"/>
        </w:trPr>
        <w:tc>
          <w:tcPr>
            <w:tcW w:w="54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color w:val="auto"/>
              </w:rPr>
              <w:t>101.SCH</w:t>
            </w:r>
          </w:p>
        </w:tc>
        <w:tc>
          <w:tcPr>
            <w:tcW w:w="10760" w:type="dxa"/>
            <w:vAlign w:val="bottom"/>
            <w:gridSpan w:val="2"/>
          </w:tcPr>
          <w:p>
            <w:pPr>
              <w:ind w:left="200"/>
              <w:spacing w:after="0" w:line="134" w:lineRule="exact"/>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153"/>
        </w:trPr>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101.CAL</w:t>
            </w: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162"/>
        </w:trPr>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101.DEF</w:t>
            </w:r>
          </w:p>
        </w:tc>
        <w:tc>
          <w:tcPr>
            <w:tcW w:w="107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162"/>
        </w:trPr>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101.LAB</w:t>
            </w:r>
          </w:p>
        </w:tc>
        <w:tc>
          <w:tcPr>
            <w:tcW w:w="107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153"/>
        </w:trPr>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101.PRE</w:t>
            </w:r>
          </w:p>
        </w:tc>
        <w:tc>
          <w:tcPr>
            <w:tcW w:w="107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r>
        <w:trPr>
          <w:trHeight w:val="172"/>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80" w:type="dxa"/>
            <w:vAlign w:val="bottom"/>
          </w:tcPr>
          <w:p>
            <w:pPr>
              <w:spacing w:after="0"/>
              <w:rPr>
                <w:sz w:val="14"/>
                <w:szCs w:val="14"/>
                <w:color w:val="auto"/>
              </w:rPr>
            </w:pPr>
          </w:p>
        </w:tc>
        <w:tc>
          <w:tcPr>
            <w:tcW w:w="10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Cover Page Interactive Data File</w:t>
            </w:r>
          </w:p>
        </w:tc>
      </w:tr>
      <w:tr>
        <w:trPr>
          <w:trHeight w:val="1076"/>
        </w:trPr>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6"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3"/>
          <w:szCs w:val="13"/>
          <w:color w:val="auto"/>
        </w:rPr>
        <w:t>DIAMONDROCK HOSPITALITY COMPANY</w:t>
      </w:r>
    </w:p>
    <w:p>
      <w:pPr>
        <w:spacing w:after="0" w:line="202" w:lineRule="exact"/>
        <w:rPr>
          <w:sz w:val="20"/>
          <w:szCs w:val="20"/>
          <w:color w:val="auto"/>
        </w:rPr>
      </w:pPr>
    </w:p>
    <w:p>
      <w:pPr>
        <w:spacing w:after="0"/>
        <w:tabs>
          <w:tab w:leader="none" w:pos="6720" w:val="left"/>
          <w:tab w:leader="none" w:pos="7200" w:val="left"/>
        </w:tabs>
        <w:rPr>
          <w:sz w:val="20"/>
          <w:szCs w:val="20"/>
          <w:color w:val="auto"/>
        </w:rPr>
      </w:pPr>
      <w:r>
        <w:rPr>
          <w:rFonts w:ascii="Times New Roman" w:cs="Times New Roman" w:eastAsia="Times New Roman" w:hAnsi="Times New Roman"/>
          <w:sz w:val="13"/>
          <w:szCs w:val="13"/>
          <w:color w:val="auto"/>
        </w:rPr>
        <w:t>Dated: May 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Briony R.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28575</wp:posOffset>
            </wp:positionV>
            <wp:extent cx="25717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571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color w:val="auto"/>
        </w:rPr>
        <w:t>Briony R. Quinn</w:t>
      </w:r>
    </w:p>
    <w:p>
      <w:pPr>
        <w:spacing w:after="0" w:line="2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3"/>
          <w:szCs w:val="13"/>
          <w:color w:val="auto"/>
        </w:rPr>
        <w:t>Executive Vice President, Chief Financial Officer and Treasurer</w:t>
      </w:r>
    </w:p>
    <w:p>
      <w:pPr>
        <w:sectPr>
          <w:pgSz w:w="11900" w:h="16838" w:orient="portrait"/>
          <w:cols w:equalWidth="0" w:num="1">
            <w:col w:w="10600"/>
          </w:cols>
          <w:pgMar w:left="300" w:top="636" w:right="999" w:bottom="1440" w:gutter="0" w:footer="0" w:header="0"/>
        </w:sectPr>
      </w:pPr>
    </w:p>
    <w:bookmarkStart w:id="3" w:name="page4"/>
    <w:bookmarkEnd w:id="3"/>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1488440</wp:posOffset>
            </wp:positionH>
            <wp:positionV relativeFrom="page">
              <wp:posOffset>414655</wp:posOffset>
            </wp:positionV>
            <wp:extent cx="1257300" cy="674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57300" cy="67437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COMPANY CONTACTS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Briony Quinn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(240) 744-1196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Dori Kesten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Capital Markets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(617) 835-8366</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IMMEDIATE RELEASE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DIAMONDROCK HOSPITALITY COMPANY ANNOUNCES SALE OF THE COURTYARD BY MARRIOTT NEW YORK MANHATTAN/FIFTH AVENUE</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b w:val="1"/>
          <w:bCs w:val="1"/>
          <w:color w:val="auto"/>
        </w:rPr>
        <w:t xml:space="preserve">BETHESDA, Maryland, May 4, 2026 </w:t>
      </w:r>
      <w:r>
        <w:rPr>
          <w:rFonts w:ascii="Arial" w:cs="Arial" w:eastAsia="Arial" w:hAnsi="Arial"/>
          <w:sz w:val="12"/>
          <w:szCs w:val="12"/>
          <w:color w:val="auto"/>
        </w:rPr>
        <w:t>– DiamondRock Hospitality Company (the “Company”) announced today the sale of its leasehold interest in the 189-room Courtyard by Marriott New York Manhattan/Fifth</w:t>
      </w:r>
      <w:r>
        <w:rPr>
          <w:rFonts w:ascii="Arial" w:cs="Arial" w:eastAsia="Arial" w:hAnsi="Arial"/>
          <w:sz w:val="12"/>
          <w:szCs w:val="12"/>
          <w:b w:val="1"/>
          <w:bCs w:val="1"/>
          <w:color w:val="auto"/>
        </w:rPr>
        <w:t xml:space="preserve"> </w:t>
      </w:r>
      <w:r>
        <w:rPr>
          <w:rFonts w:ascii="Arial" w:cs="Arial" w:eastAsia="Arial" w:hAnsi="Arial"/>
          <w:sz w:val="12"/>
          <w:szCs w:val="12"/>
          <w:color w:val="auto"/>
        </w:rPr>
        <w:t>Avenue (the “Hotel”) for $33.0 million. The sales price represents a 6.3x multiple on 2025 Hotel Adjusted EBITDA and a 13.3% capitalization rate on 2025 Hotel Net Operating Income. Inclusive of $12 million of capital expenditures required to be spent in the next 12 months, a contractual increase in the ground lease payment, and higher labor costs over the next several years, the Company estimates the stabilized capitalization rate on the sale to be approximately 7.8%, or 6.5% on a fee simple basis.</w:t>
      </w:r>
    </w:p>
    <w:p>
      <w:pPr>
        <w:spacing w:after="0" w:line="13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“From 2019 to 2025, the Hotel’s Net Operating Income more than doubled, reflecting the value created by our asset management team and operating partners. When evaluating the Hotel’s upcoming capital expenditure needs and structural expense headwinds, the expected returns did not meet our investment thresholds. This transaction reflects our continued commitment to disciplined capital allocation and growing free cash flow per share for the benefit of our shareholders,” said Jeffrey J. Donnelly, Chief Executive Officer of DiamondRock Hospitality Company.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Company is adjusting its guidance for full year 2026, provided on April 30, 2026, to account for the sale of the Hotel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Metric</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Previous 2026 Guidance</w:t>
            </w:r>
          </w:p>
        </w:tc>
        <w:tc>
          <w:tcPr>
            <w:tcW w:w="16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Adjustment for Hotel Sale</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Revised 2026 Guidance</w:t>
            </w:r>
          </w:p>
        </w:tc>
      </w:tr>
      <w:tr>
        <w:trPr>
          <w:trHeight w:val="151"/>
        </w:trPr>
        <w:tc>
          <w:tcPr>
            <w:tcW w:w="40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Comparable RevPAR Growth</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1.5% to 3.5%</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6"/>
              </w:rPr>
              <w:t>—%</w:t>
            </w:r>
          </w:p>
        </w:tc>
        <w:tc>
          <w:tcPr>
            <w:tcW w:w="22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1.5% to 3.5%</w:t>
            </w:r>
          </w:p>
        </w:tc>
      </w:tr>
      <w:tr>
        <w:trPr>
          <w:trHeight w:val="161"/>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Comparable Total RevPAR Growth</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1.75% to 3.75%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1.75% to 3.75%</w:t>
            </w:r>
          </w:p>
        </w:tc>
      </w:tr>
      <w:tr>
        <w:trPr>
          <w:trHeight w:val="163"/>
        </w:trPr>
        <w:tc>
          <w:tcPr>
            <w:tcW w:w="40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Adjusted EBITDA (in millions)</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6"/>
              </w:rPr>
              <w:t>$296 to $308</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($5.9)</w:t>
            </w:r>
          </w:p>
        </w:tc>
        <w:tc>
          <w:tcPr>
            <w:tcW w:w="22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6"/>
              </w:rPr>
              <w:t>$290.2 to $302.2</w:t>
            </w:r>
          </w:p>
        </w:tc>
      </w:tr>
      <w:tr>
        <w:trPr>
          <w:trHeight w:val="161"/>
        </w:trPr>
        <w:tc>
          <w:tcPr>
            <w:tcW w:w="4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Adjusted FFO (in millions)</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$233.5 to $245.5</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$228.4 to $240.4</w:t>
            </w:r>
          </w:p>
        </w:tc>
      </w:tr>
      <w:tr>
        <w:trPr>
          <w:trHeight w:val="162"/>
        </w:trPr>
        <w:tc>
          <w:tcPr>
            <w:tcW w:w="40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1"/>
                <w:szCs w:val="11"/>
                <w:color w:val="auto"/>
              </w:rPr>
              <w:t>Adjusted FFO per share</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9"/>
              </w:rPr>
              <w:t>$1.12 to $1.18</w:t>
            </w:r>
          </w:p>
        </w:tc>
        <w:tc>
          <w:tcPr>
            <w:tcW w:w="1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7"/>
              </w:rPr>
              <w:t>($0.025)</w:t>
            </w:r>
          </w:p>
        </w:tc>
        <w:tc>
          <w:tcPr>
            <w:tcW w:w="2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6"/>
              </w:rPr>
              <w:t>$1.10 to $1.16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THE COMPANY</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 xml:space="preserve">DiamondRock Hospitality Company (Nasdaq: DRH) is a self-advised real estate investment trust (REIT) that owns a leading portfolio of geographically diversified hotels concentrated in leisure destinations and top gateway markets. The Company currently owns 34 premium quality hotels and resorts with 9,400 rooms. The Company has strategically positioned its portfolio to be operated both under leading global brand families as well as independent boutique hotels in the lifestyle segment. For further information on the Company and its portfolio, please visit DiamondRock Hospitality Company's website at </w:t>
      </w:r>
      <w:r>
        <w:rPr>
          <w:rFonts w:ascii="Arial" w:cs="Arial" w:eastAsia="Arial" w:hAnsi="Arial"/>
          <w:sz w:val="12"/>
          <w:szCs w:val="12"/>
          <w:color w:val="0000FF"/>
        </w:rPr>
        <w:t>www.drhc.com</w:t>
      </w:r>
      <w:r>
        <w:rPr>
          <w:rFonts w:ascii="Arial" w:cs="Arial" w:eastAsia="Arial" w:hAnsi="Arial"/>
          <w:sz w:val="12"/>
          <w:szCs w:val="12"/>
          <w:color w:val="auto"/>
        </w:rPr>
        <w:t>.</w:t>
      </w:r>
    </w:p>
    <w:p>
      <w:pPr>
        <w:sectPr>
          <w:pgSz w:w="11900" w:h="16838" w:orient="portrait"/>
          <w:cols w:equalWidth="0" w:num="1">
            <w:col w:w="11220"/>
          </w:cols>
          <w:pgMar w:left="300" w:top="1440" w:right="379" w:bottom="1440" w:gutter="0" w:footer="0" w:header="0"/>
        </w:sectPr>
      </w:pPr>
    </w:p>
    <w:bookmarkStart w:id="4" w:name="page5"/>
    <w:bookmarkEnd w:id="4"/>
    <w:p>
      <w:pPr>
        <w:jc w:val="both"/>
        <w:spacing w:after="0"/>
        <w:rPr>
          <w:sz w:val="20"/>
          <w:szCs w:val="20"/>
          <w:color w:val="auto"/>
        </w:rPr>
      </w:pPr>
      <w:r>
        <w:rPr>
          <w:rFonts w:ascii="Arial" w:cs="Arial" w:eastAsia="Arial" w:hAnsi="Arial"/>
          <w:sz w:val="12"/>
          <w:szCs w:val="12"/>
          <w:i w:val="1"/>
          <w:iCs w:val="1"/>
          <w:color w:val="auto"/>
        </w:rPr>
        <w:t>This press release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described from time to time in our filings with the Securities and Exchange Commission, including our Annual Report on Form 10-K filed on February 27, 2026 and our Quarterly Report on Form 10-Q filed on April 30, 2026.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795"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color w:val="auto"/>
        </w:rPr>
        <w:t>Reconciliations of Non-GAAP Measures</w:t>
      </w:r>
    </w:p>
    <w:p>
      <w:pPr>
        <w:spacing w:after="0" w:line="114" w:lineRule="exact"/>
        <w:rPr>
          <w:sz w:val="20"/>
          <w:szCs w:val="20"/>
          <w:color w:val="auto"/>
        </w:rPr>
      </w:pPr>
    </w:p>
    <w:p>
      <w:pPr>
        <w:ind w:right="60" w:firstLine="216"/>
        <w:spacing w:after="0" w:line="286" w:lineRule="auto"/>
        <w:rPr>
          <w:sz w:val="20"/>
          <w:szCs w:val="20"/>
          <w:color w:val="auto"/>
        </w:rPr>
      </w:pPr>
      <w:r>
        <w:rPr>
          <w:rFonts w:ascii="Arial" w:cs="Arial" w:eastAsia="Arial" w:hAnsi="Arial"/>
          <w:sz w:val="12"/>
          <w:szCs w:val="12"/>
          <w:color w:val="auto"/>
        </w:rPr>
        <w:t>We use the following non-GAAP financial measures that we believe are useful to investors as key measures of our operating performance: EBITDA, EBITDAre, Adjusted EBITDA, Hotel Adjusted EBITDA, FFO and Adjusted FFO. A detailed explanation of these measures can be found in our Form 10-Q for the quarter ended March 31, 2026 filed on April 30, 2026.</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EBITDA, EBITDAre and Adjusted EBITDA</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is a reconciliation of our GAAP net income to EBITDA, EBITDAre and Adjusted EBITDA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1"/>
                <w:szCs w:val="11"/>
                <w:b w:val="1"/>
                <w:bCs w:val="1"/>
                <w:color w:val="auto"/>
              </w:rPr>
              <w:t>Full Year 2026 Guidance</w:t>
            </w:r>
          </w:p>
        </w:tc>
        <w:tc>
          <w:tcPr>
            <w:tcW w:w="1260" w:type="dxa"/>
            <w:vAlign w:val="bottom"/>
            <w:tcBorders>
              <w:bottom w:val="single" w:sz="8" w:color="auto"/>
            </w:tcBorders>
          </w:tcPr>
          <w:p>
            <w:pPr>
              <w:spacing w:after="0"/>
              <w:rPr>
                <w:sz w:val="12"/>
                <w:szCs w:val="12"/>
                <w:color w:val="auto"/>
              </w:rPr>
            </w:pPr>
          </w:p>
        </w:tc>
      </w:tr>
      <w:tr>
        <w:trPr>
          <w:trHeight w:val="133"/>
        </w:trPr>
        <w:tc>
          <w:tcPr>
            <w:tcW w:w="73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rPr>
              <w:t>Low End</w:t>
            </w: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rPr>
              <w:t>High End</w:t>
            </w:r>
          </w:p>
        </w:tc>
      </w:tr>
      <w:tr>
        <w:trPr>
          <w:trHeight w:val="133"/>
        </w:trPr>
        <w:tc>
          <w:tcPr>
            <w:tcW w:w="738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Net income</w:t>
            </w:r>
          </w:p>
        </w:tc>
        <w:tc>
          <w:tcPr>
            <w:tcW w:w="1240" w:type="dxa"/>
            <w:vAlign w:val="bottom"/>
            <w:shd w:val="clear" w:color="auto" w:fill="CCEEFF"/>
          </w:tcPr>
          <w:p>
            <w:pPr>
              <w:jc w:val="right"/>
              <w:ind w:right="113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103,200</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116,200</w:t>
            </w:r>
          </w:p>
        </w:tc>
      </w:tr>
      <w:tr>
        <w:trPr>
          <w:trHeight w:val="143"/>
        </w:trPr>
        <w:tc>
          <w:tcPr>
            <w:tcW w:w="7380" w:type="dxa"/>
            <w:vAlign w:val="bottom"/>
          </w:tcPr>
          <w:p>
            <w:pPr>
              <w:ind w:left="80"/>
              <w:spacing w:after="0"/>
              <w:rPr>
                <w:sz w:val="20"/>
                <w:szCs w:val="20"/>
                <w:color w:val="auto"/>
              </w:rPr>
            </w:pPr>
            <w:r>
              <w:rPr>
                <w:rFonts w:ascii="Arial" w:cs="Arial" w:eastAsia="Arial" w:hAnsi="Arial"/>
                <w:sz w:val="11"/>
                <w:szCs w:val="11"/>
                <w:color w:val="auto"/>
              </w:rPr>
              <w:t>Interest expense</w:t>
            </w:r>
          </w:p>
        </w:tc>
        <w:tc>
          <w:tcPr>
            <w:tcW w:w="12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59,000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58,000</w:t>
            </w:r>
          </w:p>
        </w:tc>
      </w:tr>
      <w:tr>
        <w:trPr>
          <w:trHeight w:val="145"/>
        </w:trPr>
        <w:tc>
          <w:tcPr>
            <w:tcW w:w="7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Income tax expense</w:t>
            </w:r>
          </w:p>
        </w:tc>
        <w:tc>
          <w:tcPr>
            <w:tcW w:w="12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3,000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4,000</w:t>
            </w:r>
          </w:p>
        </w:tc>
      </w:tr>
      <w:tr>
        <w:trPr>
          <w:trHeight w:val="143"/>
        </w:trPr>
        <w:tc>
          <w:tcPr>
            <w:tcW w:w="738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Real estate related depreciation and amortization</w:t>
            </w:r>
          </w:p>
        </w:tc>
        <w:tc>
          <w:tcPr>
            <w:tcW w:w="1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110,600</w:t>
            </w: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109,600</w:t>
            </w:r>
          </w:p>
        </w:tc>
      </w:tr>
      <w:tr>
        <w:trPr>
          <w:trHeight w:val="134"/>
        </w:trPr>
        <w:tc>
          <w:tcPr>
            <w:tcW w:w="73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EBITDA/EBITDA</w:t>
            </w:r>
            <w:r>
              <w:rPr>
                <w:rFonts w:ascii="Arial" w:cs="Arial" w:eastAsia="Arial" w:hAnsi="Arial"/>
                <w:sz w:val="11"/>
                <w:szCs w:val="11"/>
                <w:b w:val="1"/>
                <w:bCs w:val="1"/>
                <w:i w:val="1"/>
                <w:iCs w:val="1"/>
                <w:color w:val="auto"/>
              </w:rPr>
              <w:t>re</w:t>
            </w:r>
          </w:p>
        </w:tc>
        <w:tc>
          <w:tcPr>
            <w:tcW w:w="12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275,800</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287,800</w:t>
            </w:r>
          </w:p>
        </w:tc>
      </w:tr>
      <w:tr>
        <w:trPr>
          <w:trHeight w:val="143"/>
        </w:trPr>
        <w:tc>
          <w:tcPr>
            <w:tcW w:w="7380" w:type="dxa"/>
            <w:vAlign w:val="bottom"/>
          </w:tcPr>
          <w:p>
            <w:pPr>
              <w:ind w:left="80"/>
              <w:spacing w:after="0"/>
              <w:rPr>
                <w:sz w:val="20"/>
                <w:szCs w:val="20"/>
                <w:color w:val="auto"/>
              </w:rPr>
            </w:pPr>
            <w:r>
              <w:rPr>
                <w:rFonts w:ascii="Arial" w:cs="Arial" w:eastAsia="Arial" w:hAnsi="Arial"/>
                <w:sz w:val="11"/>
                <w:szCs w:val="11"/>
                <w:color w:val="auto"/>
              </w:rPr>
              <w:t>Non-cash lease expense and other amortization</w:t>
            </w:r>
          </w:p>
        </w:tc>
        <w:tc>
          <w:tcPr>
            <w:tcW w:w="12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5,350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5,350</w:t>
            </w:r>
          </w:p>
        </w:tc>
      </w:tr>
      <w:tr>
        <w:trPr>
          <w:trHeight w:val="144"/>
        </w:trPr>
        <w:tc>
          <w:tcPr>
            <w:tcW w:w="7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Share-based compensation expense</w:t>
            </w:r>
          </w:p>
        </w:tc>
        <w:tc>
          <w:tcPr>
            <w:tcW w:w="1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9,000</w:t>
            </w:r>
          </w:p>
        </w:tc>
        <w:tc>
          <w:tcPr>
            <w:tcW w:w="1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9,000</w:t>
            </w:r>
          </w:p>
        </w:tc>
      </w:tr>
      <w:tr>
        <w:trPr>
          <w:trHeight w:val="134"/>
        </w:trPr>
        <w:tc>
          <w:tcPr>
            <w:tcW w:w="7380" w:type="dxa"/>
            <w:vAlign w:val="bottom"/>
          </w:tcPr>
          <w:p>
            <w:pPr>
              <w:spacing w:after="0"/>
              <w:rPr>
                <w:sz w:val="20"/>
                <w:szCs w:val="20"/>
                <w:color w:val="auto"/>
              </w:rPr>
            </w:pPr>
            <w:r>
              <w:rPr>
                <w:rFonts w:ascii="Arial" w:cs="Arial" w:eastAsia="Arial" w:hAnsi="Arial"/>
                <w:sz w:val="11"/>
                <w:szCs w:val="11"/>
                <w:b w:val="1"/>
                <w:bCs w:val="1"/>
                <w:color w:val="auto"/>
              </w:rPr>
              <w:t>Adjusted EBITDA</w:t>
            </w:r>
          </w:p>
        </w:tc>
        <w:tc>
          <w:tcPr>
            <w:tcW w:w="1240" w:type="dxa"/>
            <w:vAlign w:val="bottom"/>
            <w:tcBorders>
              <w:bottom w:val="single" w:sz="8" w:color="auto"/>
            </w:tcBorders>
          </w:tcPr>
          <w:p>
            <w:pPr>
              <w:jc w:val="right"/>
              <w:ind w:right="113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290,150</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302,150</w:t>
            </w: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FFO and Adjusted FFO</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is a reconciliation of our GAAP net income to FFO and Adjusted FFO (in thousands except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1"/>
                <w:szCs w:val="11"/>
                <w:b w:val="1"/>
                <w:bCs w:val="1"/>
                <w:color w:val="auto"/>
              </w:rPr>
              <w:t>Full Year 2026 Guidance</w:t>
            </w:r>
          </w:p>
        </w:tc>
        <w:tc>
          <w:tcPr>
            <w:tcW w:w="1260" w:type="dxa"/>
            <w:vAlign w:val="bottom"/>
            <w:tcBorders>
              <w:bottom w:val="single" w:sz="8" w:color="auto"/>
            </w:tcBorders>
          </w:tcPr>
          <w:p>
            <w:pPr>
              <w:spacing w:after="0"/>
              <w:rPr>
                <w:sz w:val="12"/>
                <w:szCs w:val="12"/>
                <w:color w:val="auto"/>
              </w:rPr>
            </w:pPr>
          </w:p>
        </w:tc>
      </w:tr>
      <w:tr>
        <w:trPr>
          <w:trHeight w:val="133"/>
        </w:trPr>
        <w:tc>
          <w:tcPr>
            <w:tcW w:w="74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Low End</w:t>
            </w: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b w:val="1"/>
                <w:bCs w:val="1"/>
                <w:color w:val="auto"/>
              </w:rPr>
              <w:t>High End</w:t>
            </w:r>
          </w:p>
        </w:tc>
      </w:tr>
      <w:tr>
        <w:trPr>
          <w:trHeight w:val="133"/>
        </w:trPr>
        <w:tc>
          <w:tcPr>
            <w:tcW w:w="7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income</w:t>
            </w:r>
          </w:p>
        </w:tc>
        <w:tc>
          <w:tcPr>
            <w:tcW w:w="1260" w:type="dxa"/>
            <w:vAlign w:val="bottom"/>
            <w:shd w:val="clear" w:color="auto" w:fill="CCEEFF"/>
          </w:tcPr>
          <w:p>
            <w:pPr>
              <w:jc w:val="right"/>
              <w:ind w:right="1126"/>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103,200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11"/>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116,200</w:t>
            </w:r>
          </w:p>
        </w:tc>
      </w:tr>
      <w:tr>
        <w:trPr>
          <w:trHeight w:val="143"/>
        </w:trPr>
        <w:tc>
          <w:tcPr>
            <w:tcW w:w="74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Real estate related depreciation and amortization</w:t>
            </w:r>
          </w:p>
        </w:tc>
        <w:tc>
          <w:tcPr>
            <w:tcW w:w="1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110,600</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109,600</w:t>
            </w:r>
          </w:p>
        </w:tc>
      </w:tr>
      <w:tr>
        <w:trPr>
          <w:trHeight w:val="134"/>
        </w:trPr>
        <w:tc>
          <w:tcPr>
            <w:tcW w:w="7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FFO available to common stock and unit holders</w:t>
            </w:r>
          </w:p>
        </w:tc>
        <w:tc>
          <w:tcPr>
            <w:tcW w:w="12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213,800</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225,800</w:t>
            </w:r>
          </w:p>
        </w:tc>
      </w:tr>
      <w:tr>
        <w:trPr>
          <w:trHeight w:val="143"/>
        </w:trPr>
        <w:tc>
          <w:tcPr>
            <w:tcW w:w="7400" w:type="dxa"/>
            <w:vAlign w:val="bottom"/>
          </w:tcPr>
          <w:p>
            <w:pPr>
              <w:ind w:left="80"/>
              <w:spacing w:after="0"/>
              <w:rPr>
                <w:sz w:val="20"/>
                <w:szCs w:val="20"/>
                <w:color w:val="auto"/>
              </w:rPr>
            </w:pPr>
            <w:r>
              <w:rPr>
                <w:rFonts w:ascii="Arial" w:cs="Arial" w:eastAsia="Arial" w:hAnsi="Arial"/>
                <w:sz w:val="11"/>
                <w:szCs w:val="11"/>
                <w:color w:val="auto"/>
              </w:rPr>
              <w:t>Non-cash lease expense and other amortization</w:t>
            </w:r>
          </w:p>
        </w:tc>
        <w:tc>
          <w:tcPr>
            <w:tcW w:w="1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5,600</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jc w:val="right"/>
              <w:ind w:right="6"/>
              <w:spacing w:after="0"/>
              <w:rPr>
                <w:sz w:val="20"/>
                <w:szCs w:val="20"/>
                <w:color w:val="auto"/>
              </w:rPr>
            </w:pPr>
            <w:r>
              <w:rPr>
                <w:rFonts w:ascii="Arial" w:cs="Arial" w:eastAsia="Arial" w:hAnsi="Arial"/>
                <w:sz w:val="11"/>
                <w:szCs w:val="11"/>
                <w:color w:val="auto"/>
              </w:rPr>
              <w:t>5,600</w:t>
            </w:r>
          </w:p>
        </w:tc>
      </w:tr>
      <w:tr>
        <w:trPr>
          <w:trHeight w:val="144"/>
        </w:trPr>
        <w:tc>
          <w:tcPr>
            <w:tcW w:w="7400" w:type="dxa"/>
            <w:vAlign w:val="bottom"/>
            <w:shd w:val="clear" w:color="auto" w:fill="CCEEFF"/>
          </w:tcPr>
          <w:p>
            <w:pPr>
              <w:ind w:left="80"/>
              <w:spacing w:after="0"/>
              <w:rPr>
                <w:sz w:val="20"/>
                <w:szCs w:val="20"/>
                <w:color w:val="auto"/>
              </w:rPr>
            </w:pPr>
            <w:r>
              <w:rPr>
                <w:rFonts w:ascii="Arial" w:cs="Arial" w:eastAsia="Arial" w:hAnsi="Arial"/>
                <w:sz w:val="11"/>
                <w:szCs w:val="11"/>
                <w:color w:val="auto"/>
              </w:rPr>
              <w:t>Share-based compensation expense</w:t>
            </w:r>
          </w:p>
        </w:tc>
        <w:tc>
          <w:tcPr>
            <w:tcW w:w="12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9,000</w:t>
            </w: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9,000</w:t>
            </w:r>
          </w:p>
        </w:tc>
      </w:tr>
      <w:tr>
        <w:trPr>
          <w:trHeight w:val="150"/>
        </w:trPr>
        <w:tc>
          <w:tcPr>
            <w:tcW w:w="74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Adjusted FFO available to common stock and unit holders</w:t>
            </w:r>
          </w:p>
        </w:tc>
        <w:tc>
          <w:tcPr>
            <w:tcW w:w="1260" w:type="dxa"/>
            <w:vAlign w:val="bottom"/>
            <w:tcBorders>
              <w:bottom w:val="single" w:sz="8" w:color="auto"/>
            </w:tcBorders>
          </w:tcPr>
          <w:p>
            <w:pPr>
              <w:jc w:val="right"/>
              <w:ind w:right="11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228,400</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240,400</w:t>
            </w:r>
          </w:p>
        </w:tc>
      </w:tr>
      <w:tr>
        <w:trPr>
          <w:trHeight w:val="16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Adjusted FFO available to common stock and unit holders, per diluted share</w:t>
            </w:r>
          </w:p>
        </w:tc>
        <w:tc>
          <w:tcPr>
            <w:tcW w:w="1260" w:type="dxa"/>
            <w:vAlign w:val="bottom"/>
            <w:tcBorders>
              <w:bottom w:val="single" w:sz="8" w:color="auto"/>
            </w:tcBorders>
            <w:shd w:val="clear" w:color="auto" w:fill="CCEEFF"/>
          </w:tcPr>
          <w:p>
            <w:pPr>
              <w:jc w:val="right"/>
              <w:ind w:right="112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1.16</w:t>
            </w:r>
          </w:p>
        </w:tc>
      </w:tr>
      <w:tr>
        <w:trPr>
          <w:trHeight w:val="144"/>
        </w:trPr>
        <w:tc>
          <w:tcPr>
            <w:tcW w:w="7400" w:type="dxa"/>
            <w:vAlign w:val="bottom"/>
          </w:tcPr>
          <w:p>
            <w:pPr>
              <w:spacing w:after="0"/>
              <w:rPr>
                <w:sz w:val="20"/>
                <w:szCs w:val="20"/>
                <w:color w:val="auto"/>
              </w:rPr>
            </w:pPr>
            <w:r>
              <w:rPr>
                <w:rFonts w:ascii="Arial" w:cs="Arial" w:eastAsia="Arial" w:hAnsi="Arial"/>
                <w:sz w:val="11"/>
                <w:szCs w:val="11"/>
                <w:b w:val="1"/>
                <w:bCs w:val="1"/>
                <w:color w:val="auto"/>
              </w:rPr>
              <w:t>Diluted weighted average shares and units</w:t>
            </w:r>
          </w:p>
        </w:tc>
        <w:tc>
          <w:tcPr>
            <w:tcW w:w="1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208,000</w:t>
            </w:r>
          </w:p>
        </w:tc>
        <w:tc>
          <w:tcPr>
            <w:tcW w:w="1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208,000</w:t>
            </w:r>
          </w:p>
        </w:tc>
      </w:tr>
      <w:tr>
        <w:trPr>
          <w:trHeight w:val="20"/>
        </w:trPr>
        <w:tc>
          <w:tcPr>
            <w:tcW w:w="7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676" w:right="299" w:bottom="1440" w:gutter="0" w:footer="0" w:header="0"/>
        </w:sectPr>
      </w:pPr>
    </w:p>
    <w:bookmarkStart w:id="6" w:name="page7"/>
    <w:bookmarkEnd w:id="6"/>
    <w:p>
      <w:pPr>
        <w:ind w:left="208"/>
        <w:spacing w:after="0"/>
        <w:rPr>
          <w:sz w:val="20"/>
          <w:szCs w:val="20"/>
          <w:color w:val="auto"/>
        </w:rPr>
      </w:pPr>
      <w:r>
        <w:rPr>
          <w:rFonts w:ascii="Arial" w:cs="Arial" w:eastAsia="Arial" w:hAnsi="Arial"/>
          <w:sz w:val="12"/>
          <w:szCs w:val="12"/>
          <w:b w:val="1"/>
          <w:bCs w:val="1"/>
          <w:i w:val="1"/>
          <w:iCs w:val="1"/>
          <w:color w:val="auto"/>
        </w:rPr>
        <w:t>Reconciliation of Hotel Net Income to Hotel Net Operating Income</w:t>
      </w:r>
    </w:p>
    <w:p>
      <w:pPr>
        <w:spacing w:after="0" w:line="148" w:lineRule="exact"/>
        <w:rPr>
          <w:sz w:val="20"/>
          <w:szCs w:val="20"/>
          <w:color w:val="auto"/>
        </w:rPr>
      </w:pPr>
    </w:p>
    <w:p>
      <w:pPr>
        <w:ind w:left="8" w:right="340" w:firstLine="216"/>
        <w:spacing w:after="0" w:line="277" w:lineRule="auto"/>
        <w:rPr>
          <w:sz w:val="20"/>
          <w:szCs w:val="20"/>
          <w:color w:val="auto"/>
        </w:rPr>
      </w:pPr>
      <w:r>
        <w:rPr>
          <w:rFonts w:ascii="Arial" w:cs="Arial" w:eastAsia="Arial" w:hAnsi="Arial"/>
          <w:sz w:val="12"/>
          <w:szCs w:val="12"/>
          <w:color w:val="auto"/>
        </w:rPr>
        <w:t>The following table is a reconciliation of the Hotel's GAAP net income to Hotel Adjusted EBITDA and Hotel Net Operating Income. Hotel Net Operating Income represents Hotel Adjusted EBITDA after the deduction of a 4% capital reserve (in millions).</w:t>
      </w:r>
    </w:p>
    <w:tbl>
      <w:tblPr>
        <w:tblLayout w:type="fixed"/>
        <w:tblInd w:w="8" w:type="dxa"/>
        <w:tblCellMar>
          <w:top w:w="0" w:type="dxa"/>
          <w:left w:w="0" w:type="dxa"/>
          <w:bottom w:w="0" w:type="dxa"/>
          <w:right w:w="0" w:type="dxa"/>
        </w:tblCellMar>
      </w:tblPr>
      <w:tr>
        <w:trPr>
          <w:trHeight w:val="144"/>
        </w:trPr>
        <w:tc>
          <w:tcPr>
            <w:tcW w:w="9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Year Ended December 31, 2025</w:t>
            </w:r>
          </w:p>
        </w:tc>
      </w:tr>
      <w:tr>
        <w:trPr>
          <w:trHeight w:val="132"/>
        </w:trPr>
        <w:tc>
          <w:tcPr>
            <w:tcW w:w="9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Pr>
          <w:p>
            <w:pPr>
              <w:jc w:val="right"/>
              <w:ind w:right="706"/>
              <w:spacing w:after="0"/>
              <w:rPr>
                <w:sz w:val="20"/>
                <w:szCs w:val="20"/>
                <w:color w:val="auto"/>
              </w:rPr>
            </w:pPr>
            <w:r>
              <w:rPr>
                <w:rFonts w:ascii="Arial" w:cs="Arial" w:eastAsia="Arial" w:hAnsi="Arial"/>
                <w:sz w:val="11"/>
                <w:szCs w:val="11"/>
                <w:i w:val="1"/>
                <w:iCs w:val="1"/>
                <w:color w:val="auto"/>
              </w:rPr>
              <w:t>(unaudited)</w:t>
            </w:r>
          </w:p>
        </w:tc>
      </w:tr>
      <w:tr>
        <w:trPr>
          <w:trHeight w:val="145"/>
        </w:trPr>
        <w:tc>
          <w:tcPr>
            <w:tcW w:w="9220" w:type="dxa"/>
            <w:vAlign w:val="bottom"/>
            <w:shd w:val="clear" w:color="auto" w:fill="CCEEFF"/>
          </w:tcPr>
          <w:p>
            <w:pPr>
              <w:ind w:left="280"/>
              <w:spacing w:after="0"/>
              <w:rPr>
                <w:sz w:val="20"/>
                <w:szCs w:val="20"/>
                <w:color w:val="auto"/>
              </w:rPr>
            </w:pPr>
            <w:r>
              <w:rPr>
                <w:rFonts w:ascii="Arial" w:cs="Arial" w:eastAsia="Arial" w:hAnsi="Arial"/>
                <w:sz w:val="11"/>
                <w:szCs w:val="11"/>
                <w:b w:val="1"/>
                <w:bCs w:val="1"/>
                <w:color w:val="auto"/>
              </w:rPr>
              <w:t>Hotel Net Income</w:t>
            </w: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w:t>
            </w:r>
          </w:p>
        </w:tc>
      </w:tr>
      <w:tr>
        <w:trPr>
          <w:trHeight w:val="143"/>
        </w:trPr>
        <w:tc>
          <w:tcPr>
            <w:tcW w:w="9220" w:type="dxa"/>
            <w:vAlign w:val="bottom"/>
          </w:tcPr>
          <w:p>
            <w:pPr>
              <w:ind w:left="80"/>
              <w:spacing w:after="0"/>
              <w:rPr>
                <w:sz w:val="20"/>
                <w:szCs w:val="20"/>
                <w:color w:val="auto"/>
              </w:rPr>
            </w:pPr>
            <w:r>
              <w:rPr>
                <w:rFonts w:ascii="Arial" w:cs="Arial" w:eastAsia="Arial" w:hAnsi="Arial"/>
                <w:sz w:val="11"/>
                <w:szCs w:val="11"/>
                <w:color w:val="auto"/>
              </w:rPr>
              <w:t>Cash interest expense for ground lease</w:t>
            </w:r>
          </w:p>
        </w:tc>
        <w:tc>
          <w:tcPr>
            <w:tcW w:w="160" w:type="dxa"/>
            <w:vAlign w:val="bottom"/>
          </w:tcPr>
          <w:p>
            <w:pPr>
              <w:spacing w:after="0"/>
              <w:rPr>
                <w:sz w:val="12"/>
                <w:szCs w:val="12"/>
                <w:color w:val="auto"/>
              </w:rPr>
            </w:pPr>
          </w:p>
        </w:tc>
        <w:tc>
          <w:tcPr>
            <w:tcW w:w="1920" w:type="dxa"/>
            <w:vAlign w:val="bottom"/>
          </w:tcPr>
          <w:p>
            <w:pPr>
              <w:jc w:val="right"/>
              <w:ind w:right="6"/>
              <w:spacing w:after="0"/>
              <w:rPr>
                <w:sz w:val="20"/>
                <w:szCs w:val="20"/>
                <w:color w:val="auto"/>
              </w:rPr>
            </w:pPr>
            <w:r>
              <w:rPr>
                <w:rFonts w:ascii="Arial" w:cs="Arial" w:eastAsia="Arial" w:hAnsi="Arial"/>
                <w:sz w:val="11"/>
                <w:szCs w:val="11"/>
                <w:color w:val="auto"/>
              </w:rPr>
              <w:t>1.1</w:t>
            </w:r>
          </w:p>
        </w:tc>
      </w:tr>
      <w:tr>
        <w:trPr>
          <w:trHeight w:val="145"/>
        </w:trPr>
        <w:tc>
          <w:tcPr>
            <w:tcW w:w="9220" w:type="dxa"/>
            <w:vAlign w:val="bottom"/>
            <w:shd w:val="clear" w:color="auto" w:fill="CCEEFF"/>
          </w:tcPr>
          <w:p>
            <w:pPr>
              <w:ind w:left="80"/>
              <w:spacing w:after="0"/>
              <w:rPr>
                <w:sz w:val="20"/>
                <w:szCs w:val="20"/>
                <w:color w:val="auto"/>
              </w:rPr>
            </w:pPr>
            <w:r>
              <w:rPr>
                <w:rFonts w:ascii="Arial" w:cs="Arial" w:eastAsia="Arial" w:hAnsi="Arial"/>
                <w:sz w:val="11"/>
                <w:szCs w:val="11"/>
                <w:color w:val="auto"/>
              </w:rPr>
              <w:t>Non-cash interest expense for ground lease</w:t>
            </w:r>
          </w:p>
        </w:tc>
        <w:tc>
          <w:tcPr>
            <w:tcW w:w="1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0.8</w:t>
            </w:r>
          </w:p>
        </w:tc>
      </w:tr>
      <w:tr>
        <w:trPr>
          <w:trHeight w:val="143"/>
        </w:trPr>
        <w:tc>
          <w:tcPr>
            <w:tcW w:w="922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Depreciation and amortization</w:t>
            </w: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1.4</w:t>
            </w:r>
          </w:p>
        </w:tc>
      </w:tr>
      <w:tr>
        <w:trPr>
          <w:trHeight w:val="134"/>
        </w:trPr>
        <w:tc>
          <w:tcPr>
            <w:tcW w:w="92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Hotel Adjusted EBITDA</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w:t>
            </w:r>
          </w:p>
        </w:tc>
      </w:tr>
      <w:tr>
        <w:trPr>
          <w:trHeight w:val="144"/>
        </w:trPr>
        <w:tc>
          <w:tcPr>
            <w:tcW w:w="9220" w:type="dxa"/>
            <w:vAlign w:val="bottom"/>
            <w:tcBorders>
              <w:bottom w:val="single" w:sz="8" w:color="CCEEFF"/>
            </w:tcBorders>
          </w:tcPr>
          <w:p>
            <w:pPr>
              <w:ind w:left="80"/>
              <w:spacing w:after="0" w:line="144" w:lineRule="exact"/>
              <w:rPr>
                <w:sz w:val="20"/>
                <w:szCs w:val="20"/>
                <w:color w:val="auto"/>
              </w:rPr>
            </w:pPr>
            <w:r>
              <w:rPr>
                <w:rFonts w:ascii="Arial" w:cs="Arial" w:eastAsia="Arial" w:hAnsi="Arial"/>
                <w:sz w:val="11"/>
                <w:szCs w:val="11"/>
                <w:color w:val="auto"/>
              </w:rPr>
              <w:t>Cash interest expense for ground lease</w:t>
            </w:r>
            <w:r>
              <w:rPr>
                <w:rFonts w:ascii="Arial" w:cs="Arial" w:eastAsia="Arial" w:hAnsi="Arial"/>
                <w:sz w:val="14"/>
                <w:szCs w:val="14"/>
                <w:color w:val="auto"/>
                <w:vertAlign w:val="superscript"/>
              </w:rPr>
              <w:t>(1)</w:t>
            </w: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r>
      <w:tr>
        <w:trPr>
          <w:trHeight w:val="133"/>
        </w:trPr>
        <w:tc>
          <w:tcPr>
            <w:tcW w:w="92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Hotel Adjusted EBITDA (including ground lease)</w:t>
            </w:r>
          </w:p>
        </w:tc>
        <w:tc>
          <w:tcPr>
            <w:tcW w:w="160" w:type="dxa"/>
            <w:vAlign w:val="bottom"/>
            <w:shd w:val="clear" w:color="auto" w:fill="CCEEFF"/>
          </w:tcPr>
          <w:p>
            <w:pPr>
              <w:spacing w:after="0"/>
              <w:rPr>
                <w:sz w:val="11"/>
                <w:szCs w:val="11"/>
                <w:color w:val="auto"/>
              </w:rPr>
            </w:pPr>
          </w:p>
        </w:tc>
        <w:tc>
          <w:tcPr>
            <w:tcW w:w="1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r>
      <w:tr>
        <w:trPr>
          <w:trHeight w:val="143"/>
        </w:trPr>
        <w:tc>
          <w:tcPr>
            <w:tcW w:w="922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Capital reserve</w:t>
            </w: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w:t>
            </w:r>
          </w:p>
        </w:tc>
      </w:tr>
      <w:tr>
        <w:trPr>
          <w:trHeight w:val="150"/>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Hotel Net Operating Income</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r>
    </w:tbl>
    <w:p>
      <w:pPr>
        <w:spacing w:after="0" w:line="45" w:lineRule="exact"/>
        <w:rPr>
          <w:sz w:val="20"/>
          <w:szCs w:val="20"/>
          <w:color w:val="auto"/>
        </w:rPr>
      </w:pPr>
    </w:p>
    <w:p>
      <w:pPr>
        <w:ind w:left="108" w:right="20" w:hanging="108"/>
        <w:spacing w:after="0" w:line="225" w:lineRule="auto"/>
        <w:tabs>
          <w:tab w:leader="none" w:pos="117" w:val="left"/>
        </w:tabs>
        <w:numPr>
          <w:ilvl w:val="0"/>
          <w:numId w:val="3"/>
        </w:numPr>
        <w:rPr>
          <w:rFonts w:ascii="Arial" w:cs="Arial" w:eastAsia="Arial" w:hAnsi="Arial"/>
          <w:sz w:val="14"/>
          <w:szCs w:val="14"/>
          <w:color w:val="auto"/>
          <w:vertAlign w:val="superscript"/>
        </w:rPr>
      </w:pPr>
      <w:r>
        <w:rPr>
          <w:rFonts w:ascii="Arial" w:cs="Arial" w:eastAsia="Arial" w:hAnsi="Arial"/>
          <w:sz w:val="10"/>
          <w:szCs w:val="10"/>
          <w:color w:val="auto"/>
        </w:rPr>
        <w:t>The Hotel's ground lease is accounted for as a finance lease for GAAP purposes, resulting in the lease expense being recorded as interest expense in our consolidated statement of operations. In order to reflect Hotel Adjusted EBITDA on a basis comparable to other ground leased hotels, the Company is presenting Hotel Adjusted EBITDA inclusive of the cash-based ground lease expense associated with the Hotel.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Selected Quarterly Comparable Operating Information</w:t>
      </w:r>
    </w:p>
    <w:p>
      <w:pPr>
        <w:spacing w:after="0" w:line="20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tables are presented to provide investors with selected quarterly comparable operating information for the Company's current portfolio of 34 hotels.</w:t>
      </w:r>
    </w:p>
    <w:p>
      <w:pPr>
        <w:spacing w:after="0" w:line="179" w:lineRule="exact"/>
        <w:rPr>
          <w:sz w:val="20"/>
          <w:szCs w:val="20"/>
          <w:color w:val="auto"/>
        </w:rPr>
      </w:pPr>
    </w:p>
    <w:tbl>
      <w:tblPr>
        <w:tblLayout w:type="fixed"/>
        <w:tblInd w:w="18" w:type="dxa"/>
        <w:tblCellMar>
          <w:top w:w="0" w:type="dxa"/>
          <w:left w:w="0" w:type="dxa"/>
          <w:bottom w:w="0" w:type="dxa"/>
          <w:right w:w="0" w:type="dxa"/>
        </w:tblCellMar>
      </w:tblPr>
      <w:tr>
        <w:trPr>
          <w:trHeight w:val="153"/>
        </w:trPr>
        <w:tc>
          <w:tcPr>
            <w:tcW w:w="330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Quarter 1, 2025</w:t>
            </w:r>
          </w:p>
        </w:tc>
        <w:tc>
          <w:tcPr>
            <w:tcW w:w="2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Quarter 2, 2025</w:t>
            </w:r>
          </w:p>
        </w:tc>
        <w:tc>
          <w:tcPr>
            <w:tcW w:w="2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Quarter 3, 2025</w:t>
            </w:r>
          </w:p>
        </w:tc>
        <w:tc>
          <w:tcPr>
            <w:tcW w:w="24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b w:val="1"/>
                <w:bCs w:val="1"/>
                <w:color w:val="auto"/>
              </w:rPr>
              <w:t>Quarter 4, 2025</w:t>
            </w: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right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Full Year 2025</w:t>
            </w:r>
          </w:p>
        </w:tc>
      </w:tr>
      <w:tr>
        <w:trPr>
          <w:trHeight w:val="133"/>
        </w:trPr>
        <w:tc>
          <w:tcPr>
            <w:tcW w:w="3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ADR</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278.85</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294.88</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279.91</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292.20</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286.57</w:t>
            </w:r>
          </w:p>
        </w:tc>
      </w:tr>
      <w:tr>
        <w:trPr>
          <w:trHeight w:val="143"/>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Occupancy</w:t>
            </w:r>
          </w:p>
        </w:tc>
        <w:tc>
          <w:tcPr>
            <w:tcW w:w="220" w:type="dxa"/>
            <w:vAlign w:val="bottom"/>
          </w:tcPr>
          <w:p>
            <w:pPr>
              <w:spacing w:after="0"/>
              <w:rPr>
                <w:sz w:val="12"/>
                <w:szCs w:val="12"/>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66.6 %</w:t>
            </w:r>
          </w:p>
        </w:tc>
        <w:tc>
          <w:tcPr>
            <w:tcW w:w="220" w:type="dxa"/>
            <w:vAlign w:val="bottom"/>
          </w:tcPr>
          <w:p>
            <w:pPr>
              <w:spacing w:after="0"/>
              <w:rPr>
                <w:sz w:val="12"/>
                <w:szCs w:val="12"/>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76.3 %</w:t>
            </w:r>
          </w:p>
        </w:tc>
        <w:tc>
          <w:tcPr>
            <w:tcW w:w="220" w:type="dxa"/>
            <w:vAlign w:val="bottom"/>
          </w:tcPr>
          <w:p>
            <w:pPr>
              <w:spacing w:after="0"/>
              <w:rPr>
                <w:sz w:val="12"/>
                <w:szCs w:val="12"/>
                <w:color w:val="auto"/>
              </w:rPr>
            </w:pP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75.8 %</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67.6 %</w:t>
            </w:r>
          </w:p>
        </w:tc>
        <w:tc>
          <w:tcPr>
            <w:tcW w:w="260" w:type="dxa"/>
            <w:vAlign w:val="bottom"/>
          </w:tcPr>
          <w:p>
            <w:pPr>
              <w:spacing w:after="0"/>
              <w:rPr>
                <w:sz w:val="12"/>
                <w:szCs w:val="12"/>
                <w:color w:val="auto"/>
              </w:rPr>
            </w:pP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71.6 %</w:t>
            </w:r>
          </w:p>
        </w:tc>
      </w:tr>
      <w:tr>
        <w:trPr>
          <w:trHeight w:val="145"/>
        </w:trPr>
        <w:tc>
          <w:tcPr>
            <w:tcW w:w="3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RevPAR</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185.70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255.03</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212.06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197.57</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205.14</w:t>
            </w:r>
          </w:p>
        </w:tc>
      </w:tr>
      <w:tr>
        <w:trPr>
          <w:trHeight w:val="143"/>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RevPAR</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293.07</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350.49</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323.24</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308.81</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318.95</w:t>
            </w:r>
          </w:p>
        </w:tc>
      </w:tr>
      <w:tr>
        <w:trPr>
          <w:trHeight w:val="145"/>
        </w:trPr>
        <w:tc>
          <w:tcPr>
            <w:tcW w:w="3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Revenues (in thousands)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248,093</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299,999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279,713</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267,228</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1,095,033</w:t>
            </w:r>
          </w:p>
        </w:tc>
      </w:tr>
      <w:tr>
        <w:trPr>
          <w:trHeight w:val="143"/>
        </w:trPr>
        <w:tc>
          <w:tcPr>
            <w:tcW w:w="3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Hotel Adjusted EBITDA (in thousands)</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61,153</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93,576</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81,534</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73,829</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36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310,092</w:t>
            </w:r>
          </w:p>
        </w:tc>
      </w:tr>
      <w:tr>
        <w:trPr>
          <w:trHeight w:val="145"/>
        </w:trPr>
        <w:tc>
          <w:tcPr>
            <w:tcW w:w="330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Hotel Adjusted EBITDA Margin</w:t>
            </w:r>
          </w:p>
        </w:tc>
        <w:tc>
          <w:tcPr>
            <w:tcW w:w="220" w:type="dxa"/>
            <w:vAlign w:val="bottom"/>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24.65 %</w:t>
            </w:r>
          </w:p>
        </w:tc>
        <w:tc>
          <w:tcPr>
            <w:tcW w:w="220" w:type="dxa"/>
            <w:vAlign w:val="bottom"/>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31.19 %</w:t>
            </w:r>
          </w:p>
        </w:tc>
        <w:tc>
          <w:tcPr>
            <w:tcW w:w="220" w:type="dxa"/>
            <w:vAlign w:val="bottom"/>
            <w:shd w:val="clear" w:color="auto" w:fill="CCEEFF"/>
          </w:tcPr>
          <w:p>
            <w:pPr>
              <w:spacing w:after="0"/>
              <w:rPr>
                <w:sz w:val="12"/>
                <w:szCs w:val="12"/>
                <w:color w:val="auto"/>
              </w:rPr>
            </w:pPr>
          </w:p>
        </w:tc>
        <w:tc>
          <w:tcPr>
            <w:tcW w:w="13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29.15 %</w:t>
            </w:r>
          </w:p>
        </w:tc>
        <w:tc>
          <w:tcPr>
            <w:tcW w:w="240" w:type="dxa"/>
            <w:vAlign w:val="bottom"/>
            <w:shd w:val="clear" w:color="auto" w:fill="CCEEFF"/>
          </w:tcPr>
          <w:p>
            <w:pPr>
              <w:spacing w:after="0"/>
              <w:rPr>
                <w:sz w:val="12"/>
                <w:szCs w:val="12"/>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27.63 %</w:t>
            </w:r>
          </w:p>
        </w:tc>
        <w:tc>
          <w:tcPr>
            <w:tcW w:w="260" w:type="dxa"/>
            <w:vAlign w:val="bottom"/>
            <w:shd w:val="clear" w:color="auto" w:fill="CCEEFF"/>
          </w:tcPr>
          <w:p>
            <w:pPr>
              <w:spacing w:after="0"/>
              <w:rPr>
                <w:sz w:val="12"/>
                <w:szCs w:val="12"/>
                <w:color w:val="auto"/>
              </w:rPr>
            </w:pPr>
          </w:p>
        </w:tc>
        <w:tc>
          <w:tcPr>
            <w:tcW w:w="13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28.32 %</w:t>
            </w:r>
          </w:p>
        </w:tc>
      </w:tr>
      <w:tr>
        <w:trPr>
          <w:trHeight w:val="143"/>
        </w:trPr>
        <w:tc>
          <w:tcPr>
            <w:tcW w:w="3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Available Rooms</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846,540</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855,946</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865,352</w:t>
            </w: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865,352</w:t>
            </w: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3,433,190</w:t>
            </w:r>
          </w:p>
        </w:tc>
      </w:tr>
    </w:tbl>
    <w:p>
      <w:pPr>
        <w:spacing w:after="0" w:line="223" w:lineRule="exact"/>
        <w:rPr>
          <w:sz w:val="20"/>
          <w:szCs w:val="20"/>
          <w:color w:val="auto"/>
        </w:rPr>
      </w:pPr>
    </w:p>
    <w:tbl>
      <w:tblPr>
        <w:tblLayout w:type="fixed"/>
        <w:tblInd w:w="18" w:type="dxa"/>
        <w:tblCellMar>
          <w:top w:w="0" w:type="dxa"/>
          <w:left w:w="0" w:type="dxa"/>
          <w:bottom w:w="0" w:type="dxa"/>
          <w:right w:w="0" w:type="dxa"/>
        </w:tblCellMar>
      </w:tblPr>
      <w:tr>
        <w:trPr>
          <w:trHeight w:val="153"/>
        </w:trPr>
        <w:tc>
          <w:tcPr>
            <w:tcW w:w="342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Quarter 1, 2026</w:t>
            </w:r>
          </w:p>
        </w:tc>
      </w:tr>
      <w:tr>
        <w:trPr>
          <w:trHeight w:val="133"/>
        </w:trPr>
        <w:tc>
          <w:tcPr>
            <w:tcW w:w="34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ADR</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286.02</w:t>
            </w:r>
          </w:p>
        </w:tc>
      </w:tr>
      <w:tr>
        <w:trPr>
          <w:trHeight w:val="143"/>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Occupancy</w:t>
            </w:r>
          </w:p>
        </w:tc>
        <w:tc>
          <w:tcPr>
            <w:tcW w:w="260" w:type="dxa"/>
            <w:vAlign w:val="bottom"/>
          </w:tcPr>
          <w:p>
            <w:pPr>
              <w:spacing w:after="0"/>
              <w:rPr>
                <w:sz w:val="12"/>
                <w:szCs w:val="12"/>
                <w:color w:val="auto"/>
              </w:rPr>
            </w:pP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66.3 %</w:t>
            </w:r>
          </w:p>
        </w:tc>
      </w:tr>
      <w:tr>
        <w:trPr>
          <w:trHeight w:val="145"/>
        </w:trPr>
        <w:tc>
          <w:tcPr>
            <w:tcW w:w="34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RevPAR</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189.54</w:t>
            </w:r>
          </w:p>
        </w:tc>
      </w:tr>
      <w:tr>
        <w:trPr>
          <w:trHeight w:val="143"/>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RevPAR</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300.46</w:t>
            </w:r>
          </w:p>
        </w:tc>
      </w:tr>
      <w:tr>
        <w:trPr>
          <w:trHeight w:val="145"/>
        </w:trPr>
        <w:tc>
          <w:tcPr>
            <w:tcW w:w="34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Revenues (in thousands)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254,351</w:t>
            </w:r>
          </w:p>
        </w:tc>
      </w:tr>
      <w:tr>
        <w:trPr>
          <w:trHeight w:val="143"/>
        </w:trPr>
        <w:tc>
          <w:tcPr>
            <w:tcW w:w="34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Hotel Adjusted EBITDA (in thousands)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auto"/>
            </w:tcBorders>
          </w:tcPr>
          <w:p>
            <w:pPr>
              <w:jc w:val="right"/>
              <w:ind w:right="106"/>
              <w:spacing w:after="0"/>
              <w:rPr>
                <w:sz w:val="20"/>
                <w:szCs w:val="20"/>
                <w:color w:val="auto"/>
              </w:rPr>
            </w:pPr>
            <w:r>
              <w:rPr>
                <w:rFonts w:ascii="Arial" w:cs="Arial" w:eastAsia="Arial" w:hAnsi="Arial"/>
                <w:sz w:val="11"/>
                <w:szCs w:val="11"/>
                <w:color w:val="auto"/>
              </w:rPr>
              <w:t>65,878</w:t>
            </w:r>
          </w:p>
        </w:tc>
      </w:tr>
      <w:tr>
        <w:trPr>
          <w:trHeight w:val="145"/>
        </w:trPr>
        <w:tc>
          <w:tcPr>
            <w:tcW w:w="342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Hotel Adjusted EBITDA Margin</w:t>
            </w:r>
          </w:p>
        </w:tc>
        <w:tc>
          <w:tcPr>
            <w:tcW w:w="260" w:type="dxa"/>
            <w:vAlign w:val="bottom"/>
            <w:shd w:val="clear" w:color="auto" w:fill="CCEEFF"/>
          </w:tcPr>
          <w:p>
            <w:pPr>
              <w:spacing w:after="0"/>
              <w:rPr>
                <w:sz w:val="12"/>
                <w:szCs w:val="12"/>
                <w:color w:val="auto"/>
              </w:rPr>
            </w:pPr>
          </w:p>
        </w:tc>
        <w:tc>
          <w:tcPr>
            <w:tcW w:w="1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25.90 %</w:t>
            </w:r>
          </w:p>
        </w:tc>
      </w:tr>
      <w:tr>
        <w:trPr>
          <w:trHeight w:val="143"/>
        </w:trPr>
        <w:tc>
          <w:tcPr>
            <w:tcW w:w="34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Available Rooms</w:t>
            </w: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846,540</w:t>
            </w:r>
          </w:p>
        </w:tc>
      </w:tr>
    </w:tbl>
    <w:p>
      <w:pPr>
        <w:spacing w:after="0" w:line="200" w:lineRule="exact"/>
        <w:rPr>
          <w:sz w:val="20"/>
          <w:szCs w:val="20"/>
          <w:color w:val="auto"/>
        </w:rPr>
      </w:pP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786" w:right="299" w:bottom="1440"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575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81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58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575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575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2026-05-04T06:32:43Z</dcterms:created>
  <dcterms:modified xsi:type="dcterms:W3CDTF">2026-05-04T06:32:43Z</dcterms:modified>
</cp:coreProperties>
</file>