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pPr>
      <w:hyperlink w:anchor="i01b516d80a41493185453891bf22759d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UNITED STATES</w:t>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SECURITIES AND EXCHANGE COMMISSION</w: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Washington, D.C. 20549</w:t>
      </w:r>
    </w:p>
    <w:p>
      <w:pPr>
        <w:pStyle w:val="TextBody"/>
        <w:bidi w:val="0"/>
        <w:spacing w:lineRule="auto" w:line="288" w:before="120" w:after="283"/>
        <w:jc w:val="center"/>
        <w:rPr>
          <w:rFonts w:ascii="Times New Roman;serif" w:hAnsi="Times New Roman;serif"/>
          <w:b/>
          <w:color w:val="000000"/>
          <w:sz w:val="34"/>
        </w:rPr>
      </w:pPr>
      <w:r>
        <w:rPr>
          <w:rFonts w:ascii="Times New Roman;serif" w:hAnsi="Times New Roman;serif"/>
          <w:b/>
          <w:color w:val="000000"/>
          <w:sz w:val="34"/>
        </w:rPr>
        <w:t xml:space="preserve">FORM 10-Q </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color w:val="000000"/>
          <w:sz w:val="24"/>
        </w:rPr>
        <w:t>QUARTERLY REPORT PURSUANT TO SECTION 13 OR 15(d) OF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March 31, 2026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before="0" w:after="0"/>
        <w:jc w:val="center"/>
        <w:rPr/>
      </w:pPr>
      <w:r>
        <w:rPr/>
      </w:r>
    </w:p>
    <w:p>
      <w:pPr>
        <w:pStyle w:val="TextBody"/>
        <w:bidi w:val="0"/>
        <w:spacing w:lineRule="auto" w:line="288" w:before="0" w:after="0"/>
        <w:jc w:val="left"/>
        <w:rPr/>
      </w:pPr>
      <w:r>
        <w:rPr>
          <w:color w:val="000000"/>
        </w:rPr>
        <w:t xml:space="preserve">☐ </w:t>
      </w:r>
      <w:r>
        <w:rPr>
          <w:rFonts w:ascii="Times New Roman;serif" w:hAnsi="Times New Roman;serif"/>
          <w:b/>
          <w:color w:val="000000"/>
          <w:sz w:val="24"/>
        </w:rPr>
        <w:t>TRANSITION REPORT PURSUANT TO SECTION 13 OR 15(d) OF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_________ to _________</w:t>
      </w:r>
    </w:p>
    <w:p>
      <w:pPr>
        <w:pStyle w:val="TextBody"/>
        <w:bidi w:val="0"/>
        <w:spacing w:before="0" w:after="0"/>
        <w:jc w:val="center"/>
        <w:rPr/>
      </w:pPr>
      <w:r>
        <w:rPr/>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001-32514 </w:t>
      </w:r>
    </w:p>
    <w:p>
      <w:pPr>
        <w:pStyle w:val="TextBody"/>
        <w:bidi w:val="0"/>
        <w:spacing w:lineRule="auto" w:line="288" w:before="0" w:after="0"/>
        <w:jc w:val="center"/>
        <w:rPr>
          <w:rFonts w:ascii="Times New Roman;serif" w:hAnsi="Times New Roman;serif"/>
          <w:b/>
          <w:color w:val="000000"/>
          <w:sz w:val="44"/>
        </w:rPr>
      </w:pPr>
      <w:r>
        <w:rPr>
          <w:rFonts w:ascii="Times New Roman;serif" w:hAnsi="Times New Roman;serif"/>
          <w:b/>
          <w:color w:val="000000"/>
          <w:sz w:val="44"/>
        </w:rPr>
        <w:t>DIAMONDROCK HOSPITALITY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8501" w:type="dxa"/>
        <w:jc w:val="left"/>
        <w:tblInd w:w="0" w:type="dxa"/>
        <w:tblLayout w:type="fixed"/>
        <w:tblCellMar>
          <w:top w:w="28" w:type="dxa"/>
          <w:left w:w="28" w:type="dxa"/>
          <w:bottom w:w="28" w:type="dxa"/>
          <w:right w:w="28" w:type="dxa"/>
        </w:tblCellMar>
      </w:tblPr>
      <w:tblGrid>
        <w:gridCol w:w="1125"/>
        <w:gridCol w:w="987"/>
        <w:gridCol w:w="993"/>
        <w:gridCol w:w="324"/>
        <w:gridCol w:w="324"/>
        <w:gridCol w:w="326"/>
        <w:gridCol w:w="316"/>
        <w:gridCol w:w="316"/>
        <w:gridCol w:w="329"/>
        <w:gridCol w:w="109"/>
        <w:gridCol w:w="109"/>
        <w:gridCol w:w="109"/>
        <w:gridCol w:w="915"/>
        <w:gridCol w:w="915"/>
        <w:gridCol w:w="1304"/>
      </w:tblGrid>
      <w:tr>
        <w:trPr/>
        <w:tc>
          <w:tcPr>
            <w:tcW w:w="1125"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r>
      <w:tr>
        <w:trPr/>
        <w:tc>
          <w:tcPr>
            <w:tcW w:w="50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20-1180098</w:t>
            </w:r>
          </w:p>
        </w:tc>
      </w:tr>
      <w:tr>
        <w:trPr/>
        <w:tc>
          <w:tcPr>
            <w:tcW w:w="50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 Identification No.)</w:t>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7373 Wisconsin Avenue, Suite 1900</w:t>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Bethesda,</w:t>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20814</w:t>
            </w:r>
          </w:p>
        </w:tc>
      </w:tr>
      <w:tr>
        <w:trPr/>
        <w:tc>
          <w:tcPr>
            <w:tcW w:w="50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(Zip Code)</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(240) 744-1150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Securities Act:</w:t>
      </w:r>
    </w:p>
    <w:tbl>
      <w:tblPr>
        <w:tblW w:w="9013" w:type="dxa"/>
        <w:jc w:val="center"/>
        <w:tblInd w:w="0" w:type="dxa"/>
        <w:tblLayout w:type="fixed"/>
        <w:tblCellMar>
          <w:top w:w="28" w:type="dxa"/>
          <w:left w:w="28" w:type="dxa"/>
          <w:bottom w:w="28" w:type="dxa"/>
          <w:right w:w="28" w:type="dxa"/>
        </w:tblCellMar>
      </w:tblPr>
      <w:tblGrid>
        <w:gridCol w:w="1263"/>
        <w:gridCol w:w="1109"/>
        <w:gridCol w:w="1122"/>
        <w:gridCol w:w="564"/>
        <w:gridCol w:w="564"/>
        <w:gridCol w:w="566"/>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4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 per share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DRH</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100" w:after="283"/>
        <w:ind w:left="0" w:right="0" w:firstLine="495"/>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xml:space="preserve">☑ </w:t>
      </w:r>
      <w:r>
        <w:rPr>
          <w:rFonts w:ascii="Times New Roman;serif" w:hAnsi="Times New Roman;serif"/>
          <w:b w:val="false"/>
          <w:color w:val="000000"/>
          <w:sz w:val="20"/>
        </w:rPr>
        <w:t xml:space="preserve">Yes </w:t>
      </w:r>
      <w:r>
        <w:rPr>
          <w:color w:val="000000"/>
        </w:rPr>
        <w:t xml:space="preserve">☐ </w:t>
      </w:r>
      <w:r>
        <w:rPr>
          <w:rFonts w:ascii="Times New Roman;serif" w:hAnsi="Times New Roman;serif"/>
          <w:b w:val="false"/>
          <w:color w:val="000000"/>
          <w:sz w:val="20"/>
        </w:rPr>
        <w:t>No</w:t>
      </w:r>
    </w:p>
    <w:p>
      <w:pPr>
        <w:pStyle w:val="TextBody"/>
        <w:bidi w:val="0"/>
        <w:spacing w:lineRule="auto" w:line="288" w:before="200" w:after="283"/>
        <w:ind w:left="0" w:right="0" w:firstLine="495"/>
        <w:jc w:val="both"/>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color w:val="000000"/>
        </w:rPr>
        <w:t xml:space="preserve">☑ </w:t>
      </w:r>
      <w:r>
        <w:rPr>
          <w:rFonts w:ascii="Times New Roman;serif" w:hAnsi="Times New Roman;serif"/>
          <w:b w:val="false"/>
          <w:color w:val="000000"/>
          <w:sz w:val="20"/>
        </w:rPr>
        <w:t xml:space="preserve">Yes </w:t>
      </w:r>
      <w:r>
        <w:rPr>
          <w:color w:val="000000"/>
        </w:rPr>
        <w:t xml:space="preserve">☐ </w:t>
      </w:r>
      <w:r>
        <w:rPr>
          <w:rFonts w:ascii="Times New Roman;serif" w:hAnsi="Times New Roman;serif"/>
          <w:b w:val="false"/>
          <w:color w:val="000000"/>
          <w:sz w:val="20"/>
        </w:rPr>
        <w:t>No</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9847" w:type="dxa"/>
        <w:jc w:val="left"/>
        <w:tblInd w:w="0" w:type="dxa"/>
        <w:tblLayout w:type="fixed"/>
        <w:tblCellMar>
          <w:top w:w="28" w:type="dxa"/>
          <w:left w:w="28" w:type="dxa"/>
          <w:bottom w:w="28" w:type="dxa"/>
          <w:right w:w="28" w:type="dxa"/>
        </w:tblCellMar>
      </w:tblPr>
      <w:tblGrid>
        <w:gridCol w:w="711"/>
        <w:gridCol w:w="626"/>
        <w:gridCol w:w="628"/>
        <w:gridCol w:w="109"/>
        <w:gridCol w:w="109"/>
        <w:gridCol w:w="109"/>
        <w:gridCol w:w="109"/>
        <w:gridCol w:w="109"/>
        <w:gridCol w:w="109"/>
        <w:gridCol w:w="479"/>
        <w:gridCol w:w="479"/>
        <w:gridCol w:w="481"/>
        <w:gridCol w:w="109"/>
        <w:gridCol w:w="109"/>
        <w:gridCol w:w="109"/>
        <w:gridCol w:w="109"/>
        <w:gridCol w:w="109"/>
        <w:gridCol w:w="109"/>
        <w:gridCol w:w="599"/>
        <w:gridCol w:w="599"/>
        <w:gridCol w:w="601"/>
        <w:gridCol w:w="109"/>
        <w:gridCol w:w="109"/>
        <w:gridCol w:w="109"/>
        <w:gridCol w:w="109"/>
        <w:gridCol w:w="109"/>
        <w:gridCol w:w="109"/>
        <w:gridCol w:w="769"/>
        <w:gridCol w:w="769"/>
        <w:gridCol w:w="772"/>
        <w:gridCol w:w="109"/>
        <w:gridCol w:w="109"/>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Large 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20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56" w:type="dxa"/>
            <w:gridSpan w:val="21"/>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0" w:after="0"/>
        <w:ind w:left="0" w:right="0" w:firstLine="18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pursuant to Section 13(a) of the Exchange Act. </w:t>
      </w:r>
      <w:r>
        <w:rPr>
          <w:color w:val="000000"/>
        </w:rPr>
        <w:t>☐</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1b516d80a41493185453891bf22759d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ind w:left="0" w:right="0" w:firstLine="495"/>
        <w:jc w:val="both"/>
        <w:rPr/>
      </w:pPr>
      <w:r>
        <w:rPr>
          <w:rFonts w:ascii="Times New Roman;serif" w:hAnsi="Times New Roman;serif"/>
          <w:b w:val="false"/>
          <w:color w:val="000000"/>
          <w:sz w:val="20"/>
        </w:rPr>
        <w:t xml:space="preserve">Indicate by check mark whether the registrant is a shell company (as defined in Rule 12b-2 of the Exchange Act). </w:t>
      </w:r>
      <w:r>
        <w:rPr>
          <w:color w:val="000000"/>
        </w:rPr>
        <w:t xml:space="preserve">☐ </w:t>
      </w:r>
      <w:r>
        <w:rPr>
          <w:rFonts w:ascii="Times New Roman;serif" w:hAnsi="Times New Roman;serif"/>
          <w:b w:val="false"/>
          <w:color w:val="000000"/>
          <w:sz w:val="20"/>
        </w:rPr>
        <w:t xml:space="preserve">Yes </w:t>
      </w:r>
      <w:r>
        <w:rPr>
          <w:color w:val="000000"/>
        </w:rPr>
        <w:t xml:space="preserve">☑ </w:t>
      </w:r>
      <w:r>
        <w:rPr>
          <w:rFonts w:ascii="Times New Roman;serif" w:hAnsi="Times New Roman;serif"/>
          <w:b w:val="false"/>
          <w:color w:val="000000"/>
          <w:sz w:val="20"/>
        </w:rPr>
        <w:t>No</w:t>
      </w:r>
    </w:p>
    <w:p>
      <w:pPr>
        <w:pStyle w:val="TextBody"/>
        <w:bidi w:val="0"/>
        <w:spacing w:lineRule="auto" w:line="288" w:before="2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registrant had 204,490,591 shares of its $0.01 par value common stock outstanding as of April 30,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erif" w:hAnsi="Times New Roman;serif"/>
          <w:b/>
          <w:color w:val="000000"/>
          <w:sz w:val="20"/>
          <w:u w:val="single"/>
        </w:rPr>
      </w:pPr>
      <w:r>
        <w:rPr>
          <w:rFonts w:ascii="Times New Roman;serif" w:hAnsi="Times New Roman;serif"/>
          <w:b/>
          <w:color w:val="000000"/>
          <w:sz w:val="20"/>
          <w:u w:val="single"/>
        </w:rPr>
        <w:t>Table of Contents</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INDEX</w:t>
      </w:r>
    </w:p>
    <w:tbl>
      <w:tblPr>
        <w:tblW w:w="10205" w:type="dxa"/>
        <w:jc w:val="center"/>
        <w:tblInd w:w="0" w:type="dxa"/>
        <w:tblLayout w:type="fixed"/>
        <w:tblCellMar>
          <w:top w:w="28" w:type="dxa"/>
          <w:left w:w="28" w:type="dxa"/>
          <w:bottom w:w="28" w:type="dxa"/>
          <w:right w:w="28" w:type="dxa"/>
        </w:tblCellMar>
      </w:tblPr>
      <w:tblGrid>
        <w:gridCol w:w="3087"/>
        <w:gridCol w:w="2613"/>
        <w:gridCol w:w="2580"/>
        <w:gridCol w:w="561"/>
        <w:gridCol w:w="561"/>
        <w:gridCol w:w="803"/>
      </w:tblGrid>
      <w:tr>
        <w:trPr/>
        <w:tc>
          <w:tcPr>
            <w:tcW w:w="3087"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258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r>
      <w:tr>
        <w:trPr/>
        <w:tc>
          <w:tcPr>
            <w:tcW w:w="82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2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 No.</w:t>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0"/>
              <w:jc w:val="center"/>
              <w:rPr/>
            </w:pPr>
            <w:hyperlink w:anchor="i01b516d80a41493185453891bf22759d_10">
              <w:r>
                <w:rPr>
                  <w:rStyle w:val="InternetLink"/>
                  <w:rFonts w:ascii="Times New Roman;serif" w:hAnsi="Times New Roman;serif"/>
                  <w:b/>
                  <w:color w:val="0000FF"/>
                  <w:sz w:val="20"/>
                  <w:u w:val="single"/>
                </w:rPr>
                <w:t>PART I. FINANCIAL INFORMATION</w:t>
              </w:r>
            </w:hyperlink>
          </w:p>
        </w:tc>
      </w:tr>
      <w:tr>
        <w:trPr/>
        <w:tc>
          <w:tcPr>
            <w:tcW w:w="82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2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b516d80a41493185453891bf22759d_13">
              <w:r>
                <w:rPr>
                  <w:rStyle w:val="InternetLink"/>
                  <w:rFonts w:ascii="Times New Roman;serif" w:hAnsi="Times New Roman;serif"/>
                  <w:b w:val="false"/>
                  <w:color w:val="0000FF"/>
                  <w:sz w:val="20"/>
                  <w:u w:val="single"/>
                </w:rPr>
                <w:t>Item 1. Financial Statements:</w:t>
              </w:r>
            </w:hyperlink>
          </w:p>
        </w:tc>
        <w:tc>
          <w:tcPr>
            <w:tcW w:w="19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b516d80a41493185453891bf22759d_16">
              <w:r>
                <w:rPr>
                  <w:rStyle w:val="InternetLink"/>
                  <w:rFonts w:ascii="Times New Roman;serif" w:hAnsi="Times New Roman;serif"/>
                  <w:b w:val="false"/>
                  <w:color w:val="0000FF"/>
                  <w:sz w:val="20"/>
                  <w:u w:val="single"/>
                </w:rPr>
                <w:t>Consolidated Balance Sheets as of March 31, 2026 and December 31, 2025</w:t>
              </w:r>
            </w:hyperlink>
          </w:p>
        </w:tc>
        <w:tc>
          <w:tcPr>
            <w:tcW w:w="19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1b516d80a41493185453891bf22759d_16">
              <w:r>
                <w:rPr>
                  <w:rStyle w:val="InternetLink"/>
                  <w:rFonts w:ascii="Times New Roman;serif" w:hAnsi="Times New Roman;serif"/>
                  <w:b w:val="false"/>
                  <w:color w:val="0000FF"/>
                  <w:sz w:val="20"/>
                  <w:u w:val="single"/>
                </w:rPr>
                <w:t>1</w:t>
              </w:r>
            </w:hyperlink>
          </w:p>
        </w:tc>
      </w:tr>
      <w:tr>
        <w:trPr/>
        <w:tc>
          <w:tcPr>
            <w:tcW w:w="8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b516d80a41493185453891bf22759d_19">
              <w:r>
                <w:rPr>
                  <w:rStyle w:val="InternetLink"/>
                  <w:rFonts w:ascii="Times New Roman;serif" w:hAnsi="Times New Roman;serif"/>
                  <w:b w:val="false"/>
                  <w:color w:val="0000FF"/>
                  <w:sz w:val="20"/>
                  <w:u w:val="single"/>
                </w:rPr>
                <w:t>Consolidated Statements of Operations and Comprehensive Income for the Three Months Ended March 31, 2026 and 2025</w:t>
              </w:r>
            </w:hyperlink>
          </w:p>
        </w:tc>
        <w:tc>
          <w:tcPr>
            <w:tcW w:w="19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1b516d80a41493185453891bf22759d_19">
              <w:r>
                <w:rPr>
                  <w:rStyle w:val="InternetLink"/>
                  <w:rFonts w:ascii="Times New Roman;serif" w:hAnsi="Times New Roman;serif"/>
                  <w:b w:val="false"/>
                  <w:color w:val="0000FF"/>
                  <w:sz w:val="20"/>
                  <w:u w:val="single"/>
                </w:rPr>
                <w:t>2</w:t>
              </w:r>
            </w:hyperlink>
          </w:p>
        </w:tc>
      </w:tr>
      <w:tr>
        <w:trPr/>
        <w:tc>
          <w:tcPr>
            <w:tcW w:w="8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b516d80a41493185453891bf22759d_22">
              <w:r>
                <w:rPr>
                  <w:rStyle w:val="InternetLink"/>
                  <w:rFonts w:ascii="Times New Roman;serif" w:hAnsi="Times New Roman;serif"/>
                  <w:b w:val="false"/>
                  <w:color w:val="0000FF"/>
                  <w:sz w:val="20"/>
                  <w:u w:val="single"/>
                </w:rPr>
                <w:t>Consolidated Statements of Equity for the Three Months Ended March 31, 2026 and 2025</w:t>
              </w:r>
            </w:hyperlink>
          </w:p>
        </w:tc>
        <w:tc>
          <w:tcPr>
            <w:tcW w:w="19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1b516d80a41493185453891bf22759d_22">
              <w:r>
                <w:rPr>
                  <w:rStyle w:val="InternetLink"/>
                  <w:rFonts w:ascii="Times New Roman;serif" w:hAnsi="Times New Roman;serif"/>
                  <w:b w:val="false"/>
                  <w:color w:val="0000FF"/>
                  <w:sz w:val="20"/>
                  <w:u w:val="single"/>
                </w:rPr>
                <w:t>4</w:t>
              </w:r>
            </w:hyperlink>
          </w:p>
        </w:tc>
      </w:tr>
      <w:tr>
        <w:trPr/>
        <w:tc>
          <w:tcPr>
            <w:tcW w:w="8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b516d80a41493185453891bf22759d_25">
              <w:r>
                <w:rPr>
                  <w:rStyle w:val="InternetLink"/>
                  <w:rFonts w:ascii="Times New Roman;serif" w:hAnsi="Times New Roman;serif"/>
                  <w:b w:val="false"/>
                  <w:color w:val="0000FF"/>
                  <w:sz w:val="20"/>
                  <w:u w:val="single"/>
                </w:rPr>
                <w:t>Consolidated Statements of Cash Flows for the Three Months Ended March 31, 2026 and 2025</w:t>
              </w:r>
            </w:hyperlink>
          </w:p>
        </w:tc>
        <w:tc>
          <w:tcPr>
            <w:tcW w:w="19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1b516d80a41493185453891bf22759d_25">
              <w:r>
                <w:rPr>
                  <w:rStyle w:val="InternetLink"/>
                  <w:rFonts w:ascii="Times New Roman;serif" w:hAnsi="Times New Roman;serif"/>
                  <w:b w:val="false"/>
                  <w:color w:val="0000FF"/>
                  <w:sz w:val="20"/>
                  <w:u w:val="single"/>
                </w:rPr>
                <w:t>5</w:t>
              </w:r>
            </w:hyperlink>
          </w:p>
        </w:tc>
      </w:tr>
      <w:tr>
        <w:trPr/>
        <w:tc>
          <w:tcPr>
            <w:tcW w:w="8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b516d80a41493185453891bf22759d_28">
              <w:r>
                <w:rPr>
                  <w:rStyle w:val="InternetLink"/>
                  <w:rFonts w:ascii="Times New Roman;serif" w:hAnsi="Times New Roman;serif"/>
                  <w:b w:val="false"/>
                  <w:color w:val="0000FF"/>
                  <w:sz w:val="20"/>
                  <w:u w:val="single"/>
                </w:rPr>
                <w:t>Notes to the Consolidated Financial Statements</w:t>
              </w:r>
            </w:hyperlink>
          </w:p>
        </w:tc>
        <w:tc>
          <w:tcPr>
            <w:tcW w:w="19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1b516d80a41493185453891bf22759d_28">
              <w:r>
                <w:rPr>
                  <w:rStyle w:val="InternetLink"/>
                  <w:rFonts w:ascii="Times New Roman;serif" w:hAnsi="Times New Roman;serif"/>
                  <w:b w:val="false"/>
                  <w:color w:val="0000FF"/>
                  <w:sz w:val="20"/>
                  <w:u w:val="single"/>
                </w:rPr>
                <w:t>7</w:t>
              </w:r>
            </w:hyperlink>
          </w:p>
        </w:tc>
      </w:tr>
      <w:tr>
        <w:trPr/>
        <w:tc>
          <w:tcPr>
            <w:tcW w:w="82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2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b516d80a41493185453891bf22759d_70">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19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1b516d80a41493185453891bf22759d_70">
              <w:r>
                <w:rPr>
                  <w:rStyle w:val="InternetLink"/>
                  <w:rFonts w:ascii="Times New Roman;serif" w:hAnsi="Times New Roman;serif"/>
                  <w:b w:val="false"/>
                  <w:color w:val="0000FF"/>
                  <w:sz w:val="20"/>
                  <w:u w:val="single"/>
                </w:rPr>
                <w:t>17</w:t>
              </w:r>
            </w:hyperlink>
          </w:p>
        </w:tc>
      </w:tr>
      <w:tr>
        <w:trPr/>
        <w:tc>
          <w:tcPr>
            <w:tcW w:w="82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2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b516d80a41493185453891bf22759d_73">
              <w:r>
                <w:rPr>
                  <w:rStyle w:val="InternetLink"/>
                  <w:rFonts w:ascii="Times New Roman;serif" w:hAnsi="Times New Roman;serif"/>
                  <w:b w:val="false"/>
                  <w:color w:val="0000FF"/>
                  <w:sz w:val="20"/>
                  <w:u w:val="single"/>
                </w:rPr>
                <w:t>Item 3. Quantitative and Qualitative Disclosures About Market Risk</w:t>
              </w:r>
            </w:hyperlink>
          </w:p>
        </w:tc>
        <w:tc>
          <w:tcPr>
            <w:tcW w:w="19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1b516d80a41493185453891bf22759d_73">
              <w:r>
                <w:rPr>
                  <w:rStyle w:val="InternetLink"/>
                  <w:rFonts w:ascii="Times New Roman;serif" w:hAnsi="Times New Roman;serif"/>
                  <w:b w:val="false"/>
                  <w:color w:val="0000FF"/>
                  <w:sz w:val="20"/>
                  <w:u w:val="single"/>
                </w:rPr>
                <w:t>29</w:t>
              </w:r>
            </w:hyperlink>
          </w:p>
        </w:tc>
      </w:tr>
      <w:tr>
        <w:trPr/>
        <w:tc>
          <w:tcPr>
            <w:tcW w:w="82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2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b516d80a41493185453891bf22759d_76">
              <w:r>
                <w:rPr>
                  <w:rStyle w:val="InternetLink"/>
                  <w:rFonts w:ascii="Times New Roman;serif" w:hAnsi="Times New Roman;serif"/>
                  <w:b w:val="false"/>
                  <w:color w:val="0000FF"/>
                  <w:sz w:val="20"/>
                  <w:u w:val="single"/>
                </w:rPr>
                <w:t>Item 4. Controls and Procedures</w:t>
              </w:r>
            </w:hyperlink>
          </w:p>
        </w:tc>
        <w:tc>
          <w:tcPr>
            <w:tcW w:w="19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1b516d80a41493185453891bf22759d_76">
              <w:r>
                <w:rPr>
                  <w:rStyle w:val="InternetLink"/>
                  <w:rFonts w:ascii="Times New Roman;serif" w:hAnsi="Times New Roman;serif"/>
                  <w:b w:val="false"/>
                  <w:color w:val="0000FF"/>
                  <w:sz w:val="20"/>
                  <w:u w:val="single"/>
                </w:rPr>
                <w:t>29</w:t>
              </w:r>
            </w:hyperlink>
          </w:p>
        </w:tc>
      </w:tr>
      <w:tr>
        <w:trPr/>
        <w:tc>
          <w:tcPr>
            <w:tcW w:w="82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0"/>
              <w:jc w:val="center"/>
              <w:rPr/>
            </w:pPr>
            <w:hyperlink w:anchor="i01b516d80a41493185453891bf22759d_79">
              <w:r>
                <w:rPr>
                  <w:rStyle w:val="InternetLink"/>
                  <w:rFonts w:ascii="Times New Roman;serif" w:hAnsi="Times New Roman;serif"/>
                  <w:b/>
                  <w:color w:val="0000FF"/>
                  <w:sz w:val="20"/>
                  <w:u w:val="single"/>
                </w:rPr>
                <w:t>PART II. OTHER INFORMATION</w:t>
              </w:r>
            </w:hyperlink>
          </w:p>
        </w:tc>
      </w:tr>
      <w:tr>
        <w:trPr/>
        <w:tc>
          <w:tcPr>
            <w:tcW w:w="82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2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b516d80a41493185453891bf22759d_82">
              <w:r>
                <w:rPr>
                  <w:rStyle w:val="InternetLink"/>
                  <w:rFonts w:ascii="Times New Roman;serif" w:hAnsi="Times New Roman;serif"/>
                  <w:b w:val="false"/>
                  <w:color w:val="0000FF"/>
                  <w:sz w:val="20"/>
                  <w:u w:val="single"/>
                </w:rPr>
                <w:t>Item 1. Legal Proceedings</w:t>
              </w:r>
            </w:hyperlink>
          </w:p>
        </w:tc>
        <w:tc>
          <w:tcPr>
            <w:tcW w:w="19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1b516d80a41493185453891bf22759d_82">
              <w:r>
                <w:rPr>
                  <w:rStyle w:val="InternetLink"/>
                  <w:rFonts w:ascii="Times New Roman;serif" w:hAnsi="Times New Roman;serif"/>
                  <w:b w:val="false"/>
                  <w:color w:val="0000FF"/>
                  <w:sz w:val="20"/>
                  <w:u w:val="single"/>
                </w:rPr>
                <w:t>30</w:t>
              </w:r>
            </w:hyperlink>
          </w:p>
        </w:tc>
      </w:tr>
      <w:tr>
        <w:trPr/>
        <w:tc>
          <w:tcPr>
            <w:tcW w:w="82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2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b516d80a41493185453891bf22759d_85">
              <w:r>
                <w:rPr>
                  <w:rStyle w:val="InternetLink"/>
                  <w:rFonts w:ascii="Times New Roman;serif" w:hAnsi="Times New Roman;serif"/>
                  <w:b w:val="false"/>
                  <w:color w:val="0000FF"/>
                  <w:sz w:val="20"/>
                  <w:u w:val="single"/>
                </w:rPr>
                <w:t>Item 1A. Risk Factors</w:t>
              </w:r>
            </w:hyperlink>
          </w:p>
        </w:tc>
        <w:tc>
          <w:tcPr>
            <w:tcW w:w="19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1b516d80a41493185453891bf22759d_85">
              <w:r>
                <w:rPr>
                  <w:rStyle w:val="InternetLink"/>
                  <w:rFonts w:ascii="Times New Roman;serif" w:hAnsi="Times New Roman;serif"/>
                  <w:b w:val="false"/>
                  <w:color w:val="0000FF"/>
                  <w:sz w:val="20"/>
                  <w:u w:val="single"/>
                </w:rPr>
                <w:t>30</w:t>
              </w:r>
            </w:hyperlink>
          </w:p>
        </w:tc>
      </w:tr>
      <w:tr>
        <w:trPr/>
        <w:tc>
          <w:tcPr>
            <w:tcW w:w="82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2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b516d80a41493185453891bf22759d_88">
              <w:r>
                <w:rPr>
                  <w:rStyle w:val="InternetLink"/>
                  <w:rFonts w:ascii="Times New Roman;serif" w:hAnsi="Times New Roman;serif"/>
                  <w:b w:val="false"/>
                  <w:color w:val="0000FF"/>
                  <w:sz w:val="20"/>
                  <w:u w:val="single"/>
                </w:rPr>
                <w:t>Item 2. Unregistered Sales of Equity Securities and Use of Proceeds</w:t>
              </w:r>
            </w:hyperlink>
          </w:p>
        </w:tc>
        <w:tc>
          <w:tcPr>
            <w:tcW w:w="19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1b516d80a41493185453891bf22759d_88">
              <w:r>
                <w:rPr>
                  <w:rStyle w:val="InternetLink"/>
                  <w:rFonts w:ascii="Times New Roman;serif" w:hAnsi="Times New Roman;serif"/>
                  <w:b w:val="false"/>
                  <w:color w:val="0000FF"/>
                  <w:sz w:val="20"/>
                  <w:u w:val="single"/>
                </w:rPr>
                <w:t>30</w:t>
              </w:r>
            </w:hyperlink>
          </w:p>
        </w:tc>
      </w:tr>
      <w:tr>
        <w:trPr/>
        <w:tc>
          <w:tcPr>
            <w:tcW w:w="82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2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b516d80a41493185453891bf22759d_91">
              <w:r>
                <w:rPr>
                  <w:rStyle w:val="InternetLink"/>
                  <w:rFonts w:ascii="Times New Roman;serif" w:hAnsi="Times New Roman;serif"/>
                  <w:b w:val="false"/>
                  <w:color w:val="0000FF"/>
                  <w:sz w:val="20"/>
                  <w:u w:val="single"/>
                </w:rPr>
                <w:t>Item 3. Defaults Upon Senior Securities</w:t>
              </w:r>
            </w:hyperlink>
          </w:p>
        </w:tc>
        <w:tc>
          <w:tcPr>
            <w:tcW w:w="19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1b516d80a41493185453891bf22759d_91">
              <w:r>
                <w:rPr>
                  <w:rStyle w:val="InternetLink"/>
                  <w:rFonts w:ascii="Times New Roman;serif" w:hAnsi="Times New Roman;serif"/>
                  <w:b w:val="false"/>
                  <w:color w:val="0000FF"/>
                  <w:sz w:val="20"/>
                  <w:u w:val="single"/>
                </w:rPr>
                <w:t>30</w:t>
              </w:r>
            </w:hyperlink>
          </w:p>
        </w:tc>
      </w:tr>
      <w:tr>
        <w:trPr/>
        <w:tc>
          <w:tcPr>
            <w:tcW w:w="82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2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b516d80a41493185453891bf22759d_94">
              <w:r>
                <w:rPr>
                  <w:rStyle w:val="InternetLink"/>
                  <w:rFonts w:ascii="Times New Roman;serif" w:hAnsi="Times New Roman;serif"/>
                  <w:b w:val="false"/>
                  <w:color w:val="0000FF"/>
                  <w:sz w:val="20"/>
                  <w:u w:val="single"/>
                </w:rPr>
                <w:t>Item 4. Mine Safety Disclosures</w:t>
              </w:r>
            </w:hyperlink>
          </w:p>
        </w:tc>
        <w:tc>
          <w:tcPr>
            <w:tcW w:w="19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1b516d80a41493185453891bf22759d_94">
              <w:r>
                <w:rPr>
                  <w:rStyle w:val="InternetLink"/>
                  <w:rFonts w:ascii="Times New Roman;serif" w:hAnsi="Times New Roman;serif"/>
                  <w:b w:val="false"/>
                  <w:color w:val="0000FF"/>
                  <w:sz w:val="20"/>
                  <w:u w:val="single"/>
                </w:rPr>
                <w:t>30</w:t>
              </w:r>
            </w:hyperlink>
          </w:p>
        </w:tc>
      </w:tr>
      <w:tr>
        <w:trPr/>
        <w:tc>
          <w:tcPr>
            <w:tcW w:w="82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2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b516d80a41493185453891bf22759d_97">
              <w:r>
                <w:rPr>
                  <w:rStyle w:val="InternetLink"/>
                  <w:rFonts w:ascii="Times New Roman;serif" w:hAnsi="Times New Roman;serif"/>
                  <w:b w:val="false"/>
                  <w:color w:val="0000FF"/>
                  <w:sz w:val="20"/>
                  <w:u w:val="single"/>
                </w:rPr>
                <w:t>Item 5. Other Information</w:t>
              </w:r>
            </w:hyperlink>
          </w:p>
        </w:tc>
        <w:tc>
          <w:tcPr>
            <w:tcW w:w="19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1b516d80a41493185453891bf22759d_97">
              <w:r>
                <w:rPr>
                  <w:rStyle w:val="InternetLink"/>
                  <w:rFonts w:ascii="Times New Roman;serif" w:hAnsi="Times New Roman;serif"/>
                  <w:b w:val="false"/>
                  <w:color w:val="0000FF"/>
                  <w:sz w:val="20"/>
                  <w:u w:val="single"/>
                </w:rPr>
                <w:t>30</w:t>
              </w:r>
            </w:hyperlink>
          </w:p>
        </w:tc>
      </w:tr>
      <w:tr>
        <w:trPr/>
        <w:tc>
          <w:tcPr>
            <w:tcW w:w="82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2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b516d80a41493185453891bf22759d_100">
              <w:r>
                <w:rPr>
                  <w:rStyle w:val="InternetLink"/>
                  <w:rFonts w:ascii="Times New Roman;serif" w:hAnsi="Times New Roman;serif"/>
                  <w:b w:val="false"/>
                  <w:color w:val="0000FF"/>
                  <w:sz w:val="20"/>
                  <w:u w:val="single"/>
                </w:rPr>
                <w:t>Item 6. Exhibits</w:t>
              </w:r>
            </w:hyperlink>
          </w:p>
        </w:tc>
        <w:tc>
          <w:tcPr>
            <w:tcW w:w="19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1b516d80a41493185453891bf22759d_100">
              <w:r>
                <w:rPr>
                  <w:rStyle w:val="InternetLink"/>
                  <w:rFonts w:ascii="Times New Roman;serif" w:hAnsi="Times New Roman;serif"/>
                  <w:b w:val="false"/>
                  <w:color w:val="0000FF"/>
                  <w:sz w:val="20"/>
                  <w:u w:val="single"/>
                </w:rPr>
                <w:t>31</w:t>
              </w:r>
            </w:hyperlink>
          </w:p>
        </w:tc>
      </w:tr>
      <w:tr>
        <w:trPr/>
        <w:tc>
          <w:tcPr>
            <w:tcW w:w="82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1b516d80a41493185453891bf22759d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260"/>
        <w:jc w:val="left"/>
        <w:rPr>
          <w:rFonts w:ascii="Times New Roman;serif" w:hAnsi="Times New Roman;serif"/>
          <w:b/>
          <w:color w:val="000000"/>
          <w:sz w:val="20"/>
        </w:rPr>
      </w:pPr>
      <w:r>
        <w:rPr>
          <w:rFonts w:ascii="Times New Roman;serif" w:hAnsi="Times New Roman;serif"/>
          <w:b/>
          <w:color w:val="000000"/>
          <w:sz w:val="20"/>
        </w:rPr>
        <w:t>Item I.Financial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DIAMONDROCK HOSPITALITY COMPANY</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650"/>
        <w:gridCol w:w="2159"/>
        <w:gridCol w:w="2175"/>
        <w:gridCol w:w="219"/>
        <w:gridCol w:w="1031"/>
        <w:gridCol w:w="113"/>
        <w:gridCol w:w="109"/>
        <w:gridCol w:w="109"/>
        <w:gridCol w:w="109"/>
        <w:gridCol w:w="237"/>
        <w:gridCol w:w="1116"/>
        <w:gridCol w:w="178"/>
      </w:tblGrid>
      <w:tr>
        <w:trPr/>
        <w:tc>
          <w:tcPr>
            <w:tcW w:w="2650"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6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6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3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(Audited)</w:t>
            </w:r>
          </w:p>
        </w:tc>
      </w:tr>
      <w:tr>
        <w:trPr/>
        <w:tc>
          <w:tcPr>
            <w:tcW w:w="6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2,566,427 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2,596,458 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held for sale</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37,565 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95,243 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89,041 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4"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r>
      <w:tr>
        <w:trPr/>
        <w:tc>
          <w:tcPr>
            <w:tcW w:w="6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37,023 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35,137 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from hotel managers</w:t>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161,239 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137,787 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assets</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73,252 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77,194 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39,293 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68,084 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3,010,042</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3,003,701</w:t>
            </w:r>
            <w:r>
              <w:rPr>
                <w:color w:val="000000"/>
              </w:rPr>
              <w:t>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EQUITY</w:t>
            </w:r>
          </w:p>
        </w:tc>
        <w:tc>
          <w:tcPr>
            <w:tcW w:w="136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984"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r>
      <w:tr>
        <w:trPr/>
        <w:tc>
          <w:tcPr>
            <w:tcW w:w="6984"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r>
      <w:tr>
        <w:trPr/>
        <w:tc>
          <w:tcPr>
            <w:tcW w:w="6984"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r>
      <w:tr>
        <w:trPr/>
        <w:tc>
          <w:tcPr>
            <w:tcW w:w="6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net of unamortized debt issuance costs</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1,098,944 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1,098,850 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96,587 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87,053 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to hotel managers</w:t>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122,531 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109,568 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of assets held for sale</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35,183 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rent</w:t>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78,520 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77,405 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Unfavorable contract liabilities, net</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56,135 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56,549 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83,888 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declared and unpaid</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19,472 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25,903 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related to key money, net</w:t>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1,556,662 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1,546,616 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Equity:</w:t>
            </w:r>
          </w:p>
        </w:tc>
        <w:tc>
          <w:tcPr>
            <w:tcW w:w="13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984"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r>
      <w:tr>
        <w:trPr/>
        <w:tc>
          <w:tcPr>
            <w:tcW w:w="6984"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r>
      <w:tr>
        <w:trPr/>
        <w:tc>
          <w:tcPr>
            <w:tcW w:w="6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$0.01 par value; 400,000,000 shares authorized; 204,615,024 and 203,703,182 shares issued and outstanding at March 31, 2026 and December 31, 2025, respectively</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2,117,350 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2,114,438 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(6,381)</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in excess of earnings</w:t>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(666,433)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(662,209)</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2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1,448,166 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1,447,885 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2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1,453,380 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1,457,085 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3,010,042</w:t>
            </w:r>
            <w:r>
              <w:rPr>
                <w:color w:val="000000"/>
              </w:rPr>
              <w:t>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3,003,701</w:t>
            </w:r>
            <w:r>
              <w:rPr>
                <w:color w:val="000000"/>
              </w:rPr>
              <w:t>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1b516d80a41493185453891bf22759d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DIAMONDROCK HOSPITALITY COMPANY</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 AND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p>
      <w:pPr>
        <w:pStyle w:val="TextBody"/>
        <w:bidi w:val="0"/>
        <w:spacing w:lineRule="auto" w:line="288" w:before="0" w:after="0"/>
        <w:jc w:val="center"/>
        <w:rPr/>
      </w:pPr>
      <w:r>
        <w:rPr>
          <w:rFonts w:ascii="Times New Roman;serif" w:hAnsi="Times New Roman;serif"/>
          <w:b/>
          <w:color w:val="000000"/>
          <w:sz w:val="20"/>
        </w:rPr>
        <w:t>(Unaudited)</w:t>
      </w:r>
      <w:r>
        <w:rPr>
          <w:color w:val="000000"/>
        </w:rPr>
        <w:t xml:space="preserve"> </w:t>
      </w:r>
    </w:p>
    <w:tbl>
      <w:tblPr>
        <w:tblW w:w="8489" w:type="dxa"/>
        <w:jc w:val="center"/>
        <w:tblInd w:w="0" w:type="dxa"/>
        <w:tblLayout w:type="fixed"/>
        <w:tblCellMar>
          <w:top w:w="28" w:type="dxa"/>
          <w:left w:w="28" w:type="dxa"/>
          <w:bottom w:w="28" w:type="dxa"/>
          <w:right w:w="28" w:type="dxa"/>
        </w:tblCellMar>
      </w:tblPr>
      <w:tblGrid>
        <w:gridCol w:w="1891"/>
        <w:gridCol w:w="1659"/>
        <w:gridCol w:w="1670"/>
        <w:gridCol w:w="224"/>
        <w:gridCol w:w="880"/>
        <w:gridCol w:w="116"/>
        <w:gridCol w:w="116"/>
        <w:gridCol w:w="116"/>
        <w:gridCol w:w="116"/>
        <w:gridCol w:w="224"/>
        <w:gridCol w:w="880"/>
        <w:gridCol w:w="116"/>
        <w:gridCol w:w="109"/>
        <w:gridCol w:w="109"/>
        <w:gridCol w:w="109"/>
        <w:gridCol w:w="154"/>
      </w:tblGrid>
      <w:tr>
        <w:trPr/>
        <w:tc>
          <w:tcPr>
            <w:tcW w:w="1891"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Rooms</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164,085 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163,118 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beverage</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67,166 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66,841 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26,911 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24,894 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258,162 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254,853 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2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Rooms</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42,323 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43,843 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beverage</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46,417 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departmental and support expenses</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66,188 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65,286 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fees</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Franchise fees</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property-level expenses</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24,899 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27,892 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expenses</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229,541 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230,086 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and other (income) expense, net</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expenses, net</w:t>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14,579 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11,073 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14,533 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the Company</w:t>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11,857 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preferred stockholders</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common stockholders</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9,403 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share:</w:t>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available to common stockholders—basic</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available to common stockholders—diluted</w:t>
            </w:r>
          </w:p>
        </w:tc>
        <w:tc>
          <w:tcPr>
            <w:tcW w:w="22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1b516d80a41493185453891bf22759d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DIAMONDROCK HOSPITALITY COMPANY</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 AND COMPREHENSIVE INCOME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p>
      <w:pPr>
        <w:pStyle w:val="TextBody"/>
        <w:bidi w:val="0"/>
        <w:spacing w:lineRule="auto" w:line="288" w:before="0" w:after="0"/>
        <w:jc w:val="center"/>
        <w:rPr/>
      </w:pPr>
      <w:r>
        <w:rPr>
          <w:rFonts w:ascii="Times New Roman;serif" w:hAnsi="Times New Roman;serif"/>
          <w:b/>
          <w:color w:val="000000"/>
          <w:sz w:val="20"/>
        </w:rPr>
        <w:t>(Unaudited)</w:t>
      </w:r>
      <w:r>
        <w:rPr>
          <w:color w:val="000000"/>
        </w:rPr>
        <w:t xml:space="preserve"> </w:t>
      </w:r>
    </w:p>
    <w:p>
      <w:pPr>
        <w:pStyle w:val="TextBody"/>
        <w:bidi w:val="0"/>
        <w:spacing w:before="0" w:after="0"/>
        <w:jc w:val="center"/>
        <w:rPr/>
      </w:pPr>
      <w:r>
        <w:rPr/>
      </w:r>
    </w:p>
    <w:tbl>
      <w:tblPr>
        <w:tblW w:w="8503" w:type="dxa"/>
        <w:jc w:val="center"/>
        <w:tblInd w:w="0" w:type="dxa"/>
        <w:tblLayout w:type="fixed"/>
        <w:tblCellMar>
          <w:top w:w="28" w:type="dxa"/>
          <w:left w:w="28" w:type="dxa"/>
          <w:bottom w:w="28" w:type="dxa"/>
          <w:right w:w="28" w:type="dxa"/>
        </w:tblCellMar>
      </w:tblPr>
      <w:tblGrid>
        <w:gridCol w:w="1898"/>
        <w:gridCol w:w="1667"/>
        <w:gridCol w:w="1669"/>
        <w:gridCol w:w="244"/>
        <w:gridCol w:w="835"/>
        <w:gridCol w:w="126"/>
        <w:gridCol w:w="126"/>
        <w:gridCol w:w="126"/>
        <w:gridCol w:w="126"/>
        <w:gridCol w:w="244"/>
        <w:gridCol w:w="835"/>
        <w:gridCol w:w="126"/>
        <w:gridCol w:w="109"/>
        <w:gridCol w:w="109"/>
        <w:gridCol w:w="109"/>
        <w:gridCol w:w="154"/>
      </w:tblGrid>
      <w:tr>
        <w:trPr/>
        <w:tc>
          <w:tcPr>
            <w:tcW w:w="1898"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w:t>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interest rate derivative instruments</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Rabbi Trust assets</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other comprehensive income</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10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16,121 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8,748 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noncontrolling interests</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the Company</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16,044 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8,706 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1b516d80a41493185453891bf22759d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DIAMONDROCK HOSPITALITY COMPANY</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1545" w:type="dxa"/>
        <w:jc w:val="center"/>
        <w:tblInd w:w="0" w:type="dxa"/>
        <w:tblLayout w:type="fixed"/>
        <w:tblCellMar>
          <w:top w:w="28" w:type="dxa"/>
          <w:left w:w="28" w:type="dxa"/>
          <w:bottom w:w="28" w:type="dxa"/>
          <w:right w:w="28" w:type="dxa"/>
        </w:tblCellMar>
      </w:tblPr>
      <w:tblGrid>
        <w:gridCol w:w="560"/>
        <w:gridCol w:w="215"/>
        <w:gridCol w:w="216"/>
        <w:gridCol w:w="109"/>
        <w:gridCol w:w="109"/>
        <w:gridCol w:w="126"/>
        <w:gridCol w:w="126"/>
        <w:gridCol w:w="446"/>
        <w:gridCol w:w="425"/>
        <w:gridCol w:w="127"/>
        <w:gridCol w:w="109"/>
        <w:gridCol w:w="109"/>
        <w:gridCol w:w="109"/>
        <w:gridCol w:w="181"/>
        <w:gridCol w:w="466"/>
        <w:gridCol w:w="109"/>
        <w:gridCol w:w="109"/>
        <w:gridCol w:w="109"/>
        <w:gridCol w:w="109"/>
        <w:gridCol w:w="181"/>
        <w:gridCol w:w="721"/>
        <w:gridCol w:w="109"/>
        <w:gridCol w:w="109"/>
        <w:gridCol w:w="109"/>
        <w:gridCol w:w="109"/>
        <w:gridCol w:w="239"/>
        <w:gridCol w:w="636"/>
        <w:gridCol w:w="146"/>
        <w:gridCol w:w="109"/>
        <w:gridCol w:w="109"/>
        <w:gridCol w:w="109"/>
        <w:gridCol w:w="181"/>
        <w:gridCol w:w="631"/>
        <w:gridCol w:w="109"/>
        <w:gridCol w:w="109"/>
        <w:gridCol w:w="109"/>
        <w:gridCol w:w="109"/>
        <w:gridCol w:w="181"/>
        <w:gridCol w:w="721"/>
        <w:gridCol w:w="109"/>
        <w:gridCol w:w="109"/>
        <w:gridCol w:w="109"/>
        <w:gridCol w:w="109"/>
        <w:gridCol w:w="244"/>
        <w:gridCol w:w="629"/>
        <w:gridCol w:w="148"/>
        <w:gridCol w:w="109"/>
        <w:gridCol w:w="109"/>
        <w:gridCol w:w="109"/>
        <w:gridCol w:w="181"/>
        <w:gridCol w:w="721"/>
        <w:gridCol w:w="154"/>
      </w:tblGrid>
      <w:tr>
        <w:trPr/>
        <w:tc>
          <w:tcPr>
            <w:tcW w:w="5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6"/>
            <w:tcBorders/>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Par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Distributions in Excess of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Equity</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at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203,703,182 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2,114,438 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(6,381)</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(662,209)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1,447,885 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9,200 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1,457,085 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14,533 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Unrealized gain on interest rate derivative instruments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1,701 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Unrealized loss on Rabbi Trust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Amounts reclassified from 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Distributions on common stock/units ($0.09 per common share/unit)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(18,688)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(18,688)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(18,750)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785,700 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Shares redeemed to satisfy withholdings on vested share 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(318,978)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Redemption of Operating Partnership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445,120 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(4,114)</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at 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204,615,024 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2,117,350 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(4,797)</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(666,433)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1,448,166 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5,214 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1,453,380 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tbl>
      <w:tblPr>
        <w:tblW w:w="13241" w:type="dxa"/>
        <w:jc w:val="center"/>
        <w:tblInd w:w="0" w:type="dxa"/>
        <w:tblLayout w:type="fixed"/>
        <w:tblCellMar>
          <w:top w:w="28" w:type="dxa"/>
          <w:left w:w="28" w:type="dxa"/>
          <w:bottom w:w="28" w:type="dxa"/>
          <w:right w:w="28" w:type="dxa"/>
        </w:tblCellMar>
      </w:tblPr>
      <w:tblGrid>
        <w:gridCol w:w="560"/>
        <w:gridCol w:w="215"/>
        <w:gridCol w:w="216"/>
        <w:gridCol w:w="360"/>
        <w:gridCol w:w="361"/>
        <w:gridCol w:w="171"/>
        <w:gridCol w:w="109"/>
        <w:gridCol w:w="109"/>
        <w:gridCol w:w="109"/>
        <w:gridCol w:w="181"/>
        <w:gridCol w:w="286"/>
        <w:gridCol w:w="109"/>
        <w:gridCol w:w="109"/>
        <w:gridCol w:w="109"/>
        <w:gridCol w:w="109"/>
        <w:gridCol w:w="435"/>
        <w:gridCol w:w="436"/>
        <w:gridCol w:w="171"/>
        <w:gridCol w:w="109"/>
        <w:gridCol w:w="109"/>
        <w:gridCol w:w="109"/>
        <w:gridCol w:w="181"/>
        <w:gridCol w:w="466"/>
        <w:gridCol w:w="109"/>
        <w:gridCol w:w="109"/>
        <w:gridCol w:w="109"/>
        <w:gridCol w:w="109"/>
        <w:gridCol w:w="181"/>
        <w:gridCol w:w="721"/>
        <w:gridCol w:w="109"/>
        <w:gridCol w:w="109"/>
        <w:gridCol w:w="109"/>
        <w:gridCol w:w="109"/>
        <w:gridCol w:w="239"/>
        <w:gridCol w:w="636"/>
        <w:gridCol w:w="146"/>
        <w:gridCol w:w="109"/>
        <w:gridCol w:w="109"/>
        <w:gridCol w:w="109"/>
        <w:gridCol w:w="181"/>
        <w:gridCol w:w="631"/>
        <w:gridCol w:w="109"/>
        <w:gridCol w:w="109"/>
        <w:gridCol w:w="109"/>
        <w:gridCol w:w="109"/>
        <w:gridCol w:w="181"/>
        <w:gridCol w:w="721"/>
        <w:gridCol w:w="109"/>
        <w:gridCol w:w="109"/>
        <w:gridCol w:w="109"/>
        <w:gridCol w:w="109"/>
        <w:gridCol w:w="244"/>
        <w:gridCol w:w="629"/>
        <w:gridCol w:w="148"/>
        <w:gridCol w:w="109"/>
        <w:gridCol w:w="109"/>
        <w:gridCol w:w="109"/>
        <w:gridCol w:w="181"/>
        <w:gridCol w:w="721"/>
        <w:gridCol w:w="154"/>
      </w:tblGrid>
      <w:tr>
        <w:trPr/>
        <w:tc>
          <w:tcPr>
            <w:tcW w:w="5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Par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Par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Distributions in Excess of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Equity</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at December 31, 2024</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4,760,000 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207,592,210 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2,268,521 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(1,360)</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(679,050)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1,590,235 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8,697 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1,598,932 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11,915 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Unrealized loss on interest rate derivative instruments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(2,535)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Unrealized gain on Rabbi Trust assets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Amounts reclassified from other comprehensive income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Distributions on common stock/units ($0.08 per common share/unit)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(16,781)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(16,781)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(16,872)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Distributions on preferred stock ($0.5156 per preferred share)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Share-based compensation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1,379,495 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Shares redeemed to satisfy withholdings on vested share based compensation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(585,127)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Common stock repurchased and retired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(1,413,643)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(11,116)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at March 31, 2025</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4,760,000 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206,972,935 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2,253,718 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(4,511)</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(686,428)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1,564,896 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8,756 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1,573,652 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1b516d80a41493185453891bf22759d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DIAMONDROCK HOSPITALITY COMPANY</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549" w:type="dxa"/>
        <w:jc w:val="center"/>
        <w:tblInd w:w="0" w:type="dxa"/>
        <w:tblLayout w:type="fixed"/>
        <w:tblCellMar>
          <w:top w:w="28" w:type="dxa"/>
          <w:left w:w="28" w:type="dxa"/>
          <w:bottom w:w="28" w:type="dxa"/>
          <w:right w:w="28" w:type="dxa"/>
        </w:tblCellMar>
      </w:tblPr>
      <w:tblGrid>
        <w:gridCol w:w="2429"/>
        <w:gridCol w:w="2138"/>
        <w:gridCol w:w="2152"/>
        <w:gridCol w:w="233"/>
        <w:gridCol w:w="799"/>
        <w:gridCol w:w="120"/>
        <w:gridCol w:w="120"/>
        <w:gridCol w:w="120"/>
        <w:gridCol w:w="120"/>
        <w:gridCol w:w="233"/>
        <w:gridCol w:w="915"/>
        <w:gridCol w:w="170"/>
      </w:tblGrid>
      <w:tr>
        <w:trPr/>
        <w:tc>
          <w:tcPr>
            <w:tcW w:w="2429"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 and other amortization</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income related to key money</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to/from hotel managers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(6,822)</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10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21,939 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27,606 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(25,562)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proceeds from sale of hotel property</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89,019 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provided by investing activities</w:t>
            </w:r>
          </w:p>
        </w:tc>
        <w:tc>
          <w:tcPr>
            <w:tcW w:w="10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(20,813)</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63,457 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debt principal payments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financing costs</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on common stock and units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(48,571)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on preferred stock</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(11,116)</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redeemed to satisfy tax withholdings on vested share-based compensation</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(4,888)</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financing activities</w:t>
            </w:r>
          </w:p>
        </w:tc>
        <w:tc>
          <w:tcPr>
            <w:tcW w:w="10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(28,031)</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(69,593)</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cash equivalents, and restricted cash</w:t>
            </w:r>
          </w:p>
        </w:tc>
        <w:tc>
          <w:tcPr>
            <w:tcW w:w="10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(26,905)</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21,470 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103,221 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128,789 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76,316 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150,259 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1b516d80a41493185453891bf22759d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DIAMONDROCK HOSPITALITY COMPANY</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Supplemental Disclosure of Cash Flow Information: </w:t>
      </w:r>
    </w:p>
    <w:tbl>
      <w:tblPr>
        <w:tblW w:w="8914" w:type="dxa"/>
        <w:jc w:val="center"/>
        <w:tblInd w:w="0" w:type="dxa"/>
        <w:tblLayout w:type="fixed"/>
        <w:tblCellMar>
          <w:top w:w="28" w:type="dxa"/>
          <w:left w:w="28" w:type="dxa"/>
          <w:bottom w:w="28" w:type="dxa"/>
          <w:right w:w="28" w:type="dxa"/>
        </w:tblCellMar>
      </w:tblPr>
      <w:tblGrid>
        <w:gridCol w:w="1846"/>
        <w:gridCol w:w="1620"/>
        <w:gridCol w:w="1634"/>
        <w:gridCol w:w="244"/>
        <w:gridCol w:w="835"/>
        <w:gridCol w:w="126"/>
        <w:gridCol w:w="126"/>
        <w:gridCol w:w="126"/>
        <w:gridCol w:w="126"/>
        <w:gridCol w:w="244"/>
        <w:gridCol w:w="835"/>
        <w:gridCol w:w="126"/>
        <w:gridCol w:w="109"/>
        <w:gridCol w:w="109"/>
        <w:gridCol w:w="109"/>
        <w:gridCol w:w="109"/>
        <w:gridCol w:w="109"/>
        <w:gridCol w:w="109"/>
        <w:gridCol w:w="109"/>
        <w:gridCol w:w="109"/>
        <w:gridCol w:w="154"/>
      </w:tblGrid>
      <w:tr>
        <w:trPr/>
        <w:tc>
          <w:tcPr>
            <w:tcW w:w="1846"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refunded for income taxes, net</w:t>
            </w:r>
          </w:p>
        </w:tc>
        <w:tc>
          <w:tcPr>
            <w:tcW w:w="24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w:t>
            </w:r>
          </w:p>
        </w:tc>
        <w:tc>
          <w:tcPr>
            <w:tcW w:w="1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w:t>
            </w:r>
          </w:p>
        </w:tc>
        <w:tc>
          <w:tcPr>
            <w:tcW w:w="1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Non-cash investing and financing activities:</w:t>
            </w:r>
          </w:p>
        </w:tc>
        <w:tc>
          <w:tcPr>
            <w:tcW w:w="12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Unpaid dividends and distributions declared</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19,472 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capital expenditures</w:t>
            </w:r>
          </w:p>
        </w:tc>
        <w:tc>
          <w:tcPr>
            <w:tcW w:w="24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3,725 </w:t>
            </w:r>
          </w:p>
        </w:tc>
        <w:tc>
          <w:tcPr>
            <w:tcW w:w="1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1,514 </w:t>
            </w:r>
          </w:p>
        </w:tc>
        <w:tc>
          <w:tcPr>
            <w:tcW w:w="1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 upon lease commencement</w:t>
            </w:r>
          </w:p>
        </w:tc>
        <w:tc>
          <w:tcPr>
            <w:tcW w:w="24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6,468 </w:t>
            </w:r>
          </w:p>
        </w:tc>
        <w:tc>
          <w:tcPr>
            <w:tcW w:w="1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liability upon lease commencement</w:t>
            </w:r>
          </w:p>
        </w:tc>
        <w:tc>
          <w:tcPr>
            <w:tcW w:w="24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9,170 </w:t>
            </w:r>
          </w:p>
        </w:tc>
        <w:tc>
          <w:tcPr>
            <w:tcW w:w="1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 of Operating Partnership units for common stock</w:t>
            </w:r>
          </w:p>
        </w:tc>
        <w:tc>
          <w:tcPr>
            <w:tcW w:w="24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4,114 </w:t>
            </w:r>
          </w:p>
        </w:tc>
        <w:tc>
          <w:tcPr>
            <w:tcW w:w="1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cash equivalents, and restricted cash reported within the consolidated balance sheets to the amount shown within the consolidated statements of cash flows:</w:t>
      </w:r>
    </w:p>
    <w:p>
      <w:pPr>
        <w:pStyle w:val="TextBody"/>
        <w:bidi w:val="0"/>
        <w:spacing w:before="0" w:after="0"/>
        <w:ind w:left="0" w:right="0" w:firstLine="495"/>
        <w:jc w:val="both"/>
        <w:rPr/>
      </w:pPr>
      <w:r>
        <w:rPr/>
      </w:r>
    </w:p>
    <w:tbl>
      <w:tblPr>
        <w:tblW w:w="7480" w:type="dxa"/>
        <w:jc w:val="center"/>
        <w:tblInd w:w="0" w:type="dxa"/>
        <w:tblLayout w:type="fixed"/>
        <w:tblCellMar>
          <w:top w:w="28" w:type="dxa"/>
          <w:left w:w="28" w:type="dxa"/>
          <w:bottom w:w="28" w:type="dxa"/>
          <w:right w:w="28" w:type="dxa"/>
        </w:tblCellMar>
      </w:tblPr>
      <w:tblGrid>
        <w:gridCol w:w="1429"/>
        <w:gridCol w:w="1254"/>
        <w:gridCol w:w="1261"/>
        <w:gridCol w:w="292"/>
        <w:gridCol w:w="998"/>
        <w:gridCol w:w="150"/>
        <w:gridCol w:w="109"/>
        <w:gridCol w:w="109"/>
        <w:gridCol w:w="109"/>
        <w:gridCol w:w="313"/>
        <w:gridCol w:w="1228"/>
        <w:gridCol w:w="228"/>
      </w:tblGrid>
      <w:tr>
        <w:trPr/>
        <w:tc>
          <w:tcPr>
            <w:tcW w:w="142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39,293 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68,084 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37,023 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35,137 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76,316 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103,221 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1b516d80a41493185453891bf22759d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DIAMONDROCK HOSPITALITY COMPANY</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270"/>
        <w:jc w:val="both"/>
        <w:rPr/>
      </w:pPr>
      <w:r>
        <w:rPr>
          <w:rFonts w:ascii="Times New Roman;serif" w:hAnsi="Times New Roman;serif"/>
          <w:b/>
          <w:color w:val="000000"/>
          <w:sz w:val="20"/>
        </w:rPr>
        <w:t>1.</w:t>
      </w:r>
      <w:r>
        <w:rPr>
          <w:color w:val="000000"/>
        </w:rPr>
        <w:t xml:space="preserve"> </w:t>
      </w:r>
      <w:r>
        <w:rPr>
          <w:rFonts w:ascii="Times New Roman;serif" w:hAnsi="Times New Roman;serif"/>
          <w:b/>
          <w:color w:val="000000"/>
          <w:sz w:val="20"/>
        </w:rPr>
        <w:t>Organization</w:t>
      </w:r>
    </w:p>
    <w:p>
      <w:pPr>
        <w:pStyle w:val="TextBody"/>
        <w:bidi w:val="0"/>
        <w:spacing w:before="0" w:after="0"/>
        <w:jc w:val="both"/>
        <w:rPr/>
      </w:pPr>
      <w:r>
        <w:rPr/>
      </w:r>
    </w:p>
    <w:p>
      <w:pPr>
        <w:pStyle w:val="TextBody"/>
        <w:bidi w:val="0"/>
        <w:spacing w:lineRule="auto" w:line="276"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DiamondRock Hospitality Company (the “Company” or “we”) is a lodging-focused real estate company that owns a portfolio of premium hotels and resorts. As of March 31, 2026, we owned 35 hotels with 9,595 guest rooms. Our portfolio is concentrated in major urban markets and destination resort locations. We are an owner, as opposed to an operator, of the hotels in our portfolio. As an owner, we receive all operating profits or losses generated by our hotels after we pay fees to the hotel managers and hotel brands, which are based on the revenues and profitability of the hotels. Each hotel is uniquely positioned to maximize the cash flow and value; accordingly, nearly 40% of our portfolio is operated as an independent hotel and the remainder are operated under a brand owned by one of the leading global lodging brand companies.</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are a real estate investment trust (“REIT”) for U.S. federal income tax purposes. We conduct our business through a traditional umbrella partnership real estate investment trust, or UPREIT, in which our hotel properties are owned by our operating partnership, DiamondRock Hospitality Limited Partnership, or subsidiaries of our operating partnership. The Company is the sole general partner of our operating partnership and owned 99.7% of the limited partnership units (“common OP units”) of our operating partnership as of March 31, 2026. The remaining 0.3% of the common OP units are held by third parties and executive officers of the Company. See Note 7 for additional disclosures related to common OP units.</w:t>
      </w:r>
    </w:p>
    <w:p>
      <w:pPr>
        <w:pStyle w:val="TextBody"/>
        <w:bidi w:val="0"/>
        <w:spacing w:before="0" w:after="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270"/>
        <w:jc w:val="both"/>
        <w:rPr>
          <w:rFonts w:ascii="Times New Roman;serif" w:hAnsi="Times New Roman;serif"/>
          <w:b/>
          <w:color w:val="000000"/>
          <w:sz w:val="20"/>
        </w:rPr>
      </w:pPr>
      <w:r>
        <w:rPr>
          <w:rFonts w:ascii="Times New Roman;serif" w:hAnsi="Times New Roman;serif"/>
          <w:b/>
          <w:color w:val="000000"/>
          <w:sz w:val="20"/>
        </w:rPr>
        <w:t>2.Summary of Significant Accounting Policies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Basis of Presentation</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interim consolidated financial statements and related notes have been prepared in accordance with United States Generally Accepted Accounting Principles (“U.S. GAAP”). We have condensed or omitted certain disclosures normally included in annual financial statements presented in accordance with U.S. GAAP; however, we believe the disclosures made are adequate to prevent the information presented from being misleading. These financial statements should be read in conjunction with the consolidated financial statements and notes thereto in our Annual Report on Form 10-K for the year ended December 31, 2025. In the opinion of management, all adjustments (consisting of normal recurring accruals) considered necessary for a fair statement of results for the interim periods have been included. Interim results are not necessarily indicative of full-year performance, as a result of the impact of seasonal and other short-term variations and the acquisitions and/or dispositions of hotel properties. </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Use of Estimates</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preparation of the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Recently Issued Accounting Pronouncements </w:t>
      </w:r>
    </w:p>
    <w:p>
      <w:pPr>
        <w:pStyle w:val="TextBody"/>
        <w:bidi w:val="0"/>
        <w:spacing w:before="0" w:after="0"/>
        <w:jc w:val="both"/>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 xml:space="preserve">In November 2024, the Financial Accounting Standards Board issued Accounting Standards Update ("ASU") No. 2024-03 ("ASU 2024-03"), </w:t>
      </w:r>
      <w:r>
        <w:rPr>
          <w:rFonts w:ascii="Times New Roman;serif" w:hAnsi="Times New Roman;serif"/>
          <w:b w:val="false"/>
          <w:i/>
          <w:color w:val="000000"/>
          <w:sz w:val="20"/>
        </w:rPr>
        <w:t>Income Statement-Reporting Comprehensive Income-Expense Disaggregation Disclosures (Subtopic 220-40): Disaggregation of Income Statement Expenses</w:t>
      </w:r>
      <w:r>
        <w:rPr>
          <w:rFonts w:ascii="Times New Roman;serif" w:hAnsi="Times New Roman;serif"/>
          <w:b w:val="false"/>
          <w:color w:val="000000"/>
          <w:sz w:val="20"/>
        </w:rPr>
        <w:t>, requiring public entities to disclose additional information about specific expense categories in the notes to the financial statements on an interim and annual basis. ASU 2024-03 is effective for fiscal years beginning after December 15, 2026, and for interim periods beginning after December 15, 2027, with early adoption permitted. We are currently evaluating the impact of adopting ASU 2024-03.</w:t>
      </w:r>
    </w:p>
    <w:p>
      <w:pPr>
        <w:pStyle w:val="TextBody"/>
        <w:bidi w:val="0"/>
        <w:spacing w:before="0" w:after="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3. Property and Equipment</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Property and equipment consists of the following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1b516d80a41493185453891bf22759d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tbl>
      <w:tblPr>
        <w:tblW w:w="6371" w:type="dxa"/>
        <w:jc w:val="left"/>
        <w:tblInd w:w="0" w:type="dxa"/>
        <w:tblLayout w:type="fixed"/>
        <w:tblCellMar>
          <w:top w:w="28" w:type="dxa"/>
          <w:left w:w="28" w:type="dxa"/>
          <w:bottom w:w="28" w:type="dxa"/>
          <w:right w:w="28" w:type="dxa"/>
        </w:tblCellMar>
      </w:tblPr>
      <w:tblGrid>
        <w:gridCol w:w="1026"/>
        <w:gridCol w:w="900"/>
        <w:gridCol w:w="909"/>
        <w:gridCol w:w="234"/>
        <w:gridCol w:w="1085"/>
        <w:gridCol w:w="121"/>
        <w:gridCol w:w="109"/>
        <w:gridCol w:w="109"/>
        <w:gridCol w:w="109"/>
        <w:gridCol w:w="278"/>
        <w:gridCol w:w="1288"/>
        <w:gridCol w:w="203"/>
      </w:tblGrid>
      <w:tr>
        <w:trPr/>
        <w:tc>
          <w:tcPr>
            <w:tcW w:w="102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570,386 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570,386 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improvements</w:t>
            </w:r>
          </w:p>
        </w:tc>
        <w:tc>
          <w:tcPr>
            <w:tcW w:w="13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site improvements</w:t>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2,855,318 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2,877,236 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fixtures and equipment</w:t>
            </w:r>
          </w:p>
        </w:tc>
        <w:tc>
          <w:tcPr>
            <w:tcW w:w="13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229,575 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222,001 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16,096 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3,664,381 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3,688,119 </w:t>
            </w:r>
          </w:p>
        </w:tc>
        <w:tc>
          <w:tcPr>
            <w:tcW w:w="20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(1,097,954)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(1,091,661)</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2,566,427 </w:t>
            </w:r>
          </w:p>
        </w:tc>
        <w:tc>
          <w:tcPr>
            <w:tcW w:w="1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2,596,458 </w:t>
            </w:r>
          </w:p>
        </w:tc>
        <w:tc>
          <w:tcPr>
            <w:tcW w:w="20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and December 31, 2025, we had accrued capital expenditures of $3.7 million and $2.5 million, respectively. </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March 31, 2026, we had entered into an agreement to sell one hotel for a sales price of $33.0 million and the buyer placed a non-refundable deposit pursuant to the agreement. The hotel was classified as held for sale and, as a result, we classified all of the assets and liabilities related to this hotel as assets and liabilities held for sale in the accompanying consolidated balance sheet as of March 31, 2026 and ceased depreciating its assets. The sale is expected to close during the second quarter of 2026, however, no assurances can be given that the sale will be completed on these terms or at all.</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4. Debt</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regarding the Company’s debt (dollars in thousands):</w:t>
      </w:r>
    </w:p>
    <w:tbl>
      <w:tblPr>
        <w:tblW w:w="10205" w:type="dxa"/>
        <w:jc w:val="center"/>
        <w:tblInd w:w="0" w:type="dxa"/>
        <w:tblLayout w:type="fixed"/>
        <w:tblCellMar>
          <w:top w:w="28" w:type="dxa"/>
          <w:left w:w="28" w:type="dxa"/>
          <w:bottom w:w="28" w:type="dxa"/>
          <w:right w:w="28" w:type="dxa"/>
        </w:tblCellMar>
      </w:tblPr>
      <w:tblGrid>
        <w:gridCol w:w="1263"/>
        <w:gridCol w:w="955"/>
        <w:gridCol w:w="971"/>
        <w:gridCol w:w="109"/>
        <w:gridCol w:w="109"/>
        <w:gridCol w:w="109"/>
        <w:gridCol w:w="461"/>
        <w:gridCol w:w="453"/>
        <w:gridCol w:w="456"/>
        <w:gridCol w:w="109"/>
        <w:gridCol w:w="109"/>
        <w:gridCol w:w="109"/>
        <w:gridCol w:w="423"/>
        <w:gridCol w:w="423"/>
        <w:gridCol w:w="425"/>
        <w:gridCol w:w="109"/>
        <w:gridCol w:w="109"/>
        <w:gridCol w:w="109"/>
        <w:gridCol w:w="228"/>
        <w:gridCol w:w="1057"/>
        <w:gridCol w:w="117"/>
        <w:gridCol w:w="109"/>
        <w:gridCol w:w="109"/>
        <w:gridCol w:w="109"/>
        <w:gridCol w:w="260"/>
        <w:gridCol w:w="1208"/>
        <w:gridCol w:w="197"/>
      </w:tblGrid>
      <w:tr>
        <w:trPr/>
        <w:tc>
          <w:tcPr>
            <w:tcW w:w="1263"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Principal Balance as of</w:t>
            </w:r>
          </w:p>
        </w:tc>
      </w:tr>
      <w:tr>
        <w:trPr/>
        <w:tc>
          <w:tcPr>
            <w:tcW w:w="3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r>
      <w:tr>
        <w:trPr/>
        <w:tc>
          <w:tcPr>
            <w:tcW w:w="3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r>
      <w:tr>
        <w:trPr/>
        <w:tc>
          <w:tcPr>
            <w:tcW w:w="3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r>
      <w:tr>
        <w:trPr/>
        <w:tc>
          <w:tcPr>
            <w:tcW w:w="3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r>
      <w:tr>
        <w:trPr/>
        <w:tc>
          <w:tcPr>
            <w:tcW w:w="3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r>
      <w:tr>
        <w:trPr/>
        <w:tc>
          <w:tcPr>
            <w:tcW w:w="3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r>
      <w:tr>
        <w:trPr/>
        <w:tc>
          <w:tcPr>
            <w:tcW w:w="3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r>
      <w:tr>
        <w:trPr/>
        <w:tc>
          <w:tcPr>
            <w:tcW w:w="3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r>
      <w:tr>
        <w:trPr/>
        <w:tc>
          <w:tcPr>
            <w:tcW w:w="3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r>
      <w:tr>
        <w:trPr/>
        <w:tc>
          <w:tcPr>
            <w:tcW w:w="31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Unsecured term loan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val="false"/>
                <w:color w:val="000000"/>
                <w:sz w:val="20"/>
              </w:rPr>
              <w:t xml:space="preserve">SOFR + 1.35%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January 2028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Unsecured term loan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SOFR + 1.35%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January 2029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Unsecured term loan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SOFR + 1.35% </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unsecured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SOFR + 1.40%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January 2030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1,100,000 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1,100,000 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Unamortized debt issuance costs </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net of unamortized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1,098,944 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1,098,850 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Weighted-Average Interest Rate </w:t>
            </w:r>
            <w:r>
              <w:rPr>
                <w:rFonts w:ascii="Times New Roman;serif" w:hAnsi="Times New Roman;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(1)Interest rate as of March 31, 2026 was 4.85%, which includes the effect of interest rate swaps.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(2)Maturity date may be extended for two additional six-month periods upon the payment of applicable fees and the satisfaction of certain customary conditions.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(3)Interest rate as of March 31, 2026 was 4.98%.</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(4)Excludes debt issuance costs related to our senior unsecured credit facility, which are included within Prepaid and Other Assets on the accompanying consolidated balance sheets.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(5)Includes the effect of interest rate swaps. See Note 6 for additional disclosures on interest rate swaps.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Senior Unsecured Credit Facility and Unsecured Term Loans </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are party to a Seventh Amended and Restated Credit Agreement (the “Credit Facility”) that provides for a $400.0 million revolving credit facility (the “Revolving Credit Facility”) and three term loan facilities in the aggregate amount of $1.1 billion. The Revolving Credit Facility matures on January 22, 2030. The term loan facilities consist of a $500.0 million term loan that matures on January 3, 2028 (the “Term 1 Loan”), a $300.0 million term loan that matures January 22, 2030 (the “Term 2 Loan”) and a $300.0 million term loan that matures on January 22, 2029 (the “Term 3 Loan”). The maturity date of the Revolving Credit Facility, Term 1 Loan and Term 3 Loan may be extended for two additional six-month periods upon the payment of applicable fees and satisfaction of certain standard conditions. We have the right to increase the aggregate capacity of the Amended Credit Facility to $1.8 billion upon the satisfaction of certain standard conditions. As of March 31, 2026, we had $400.0 million of borrowing capacity under the Revolving Credit Facility.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1b516d80a41493185453891bf22759d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Interest is paid on the periodic advances on the revolving credit facility and amounts outstanding on the term loans at varying rates, based upon the Secured Overnight Financing Rate (“SOFR”), as defined in the Credit Facility, plus an applicable margin. The applicable margin is based upon our leverage ratio, as follows:</w:t>
      </w:r>
    </w:p>
    <w:tbl>
      <w:tblPr>
        <w:tblW w:w="10205" w:type="dxa"/>
        <w:jc w:val="left"/>
        <w:tblInd w:w="0" w:type="dxa"/>
        <w:tblLayout w:type="fixed"/>
        <w:tblCellMar>
          <w:top w:w="28" w:type="dxa"/>
          <w:left w:w="28" w:type="dxa"/>
          <w:bottom w:w="28" w:type="dxa"/>
          <w:right w:w="28" w:type="dxa"/>
        </w:tblCellMar>
      </w:tblPr>
      <w:tblGrid>
        <w:gridCol w:w="1274"/>
        <w:gridCol w:w="1120"/>
        <w:gridCol w:w="1127"/>
        <w:gridCol w:w="109"/>
        <w:gridCol w:w="109"/>
        <w:gridCol w:w="109"/>
        <w:gridCol w:w="1052"/>
        <w:gridCol w:w="1052"/>
        <w:gridCol w:w="1055"/>
        <w:gridCol w:w="109"/>
        <w:gridCol w:w="109"/>
        <w:gridCol w:w="109"/>
        <w:gridCol w:w="839"/>
        <w:gridCol w:w="839"/>
        <w:gridCol w:w="1193"/>
      </w:tblGrid>
      <w:tr>
        <w:trPr/>
        <w:tc>
          <w:tcPr>
            <w:tcW w:w="1274"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35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Leverage 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Applicable Margin for Revolving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Applicable Margin for Term Loans</w:t>
            </w:r>
          </w:p>
        </w:tc>
      </w:tr>
      <w:tr>
        <w:trPr/>
        <w:tc>
          <w:tcPr>
            <w:tcW w:w="35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than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1.35%</w:t>
            </w:r>
          </w:p>
        </w:tc>
      </w:tr>
      <w:tr>
        <w:trPr/>
        <w:tc>
          <w:tcPr>
            <w:tcW w:w="3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Greater than or equal to 30% but less than 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1.40%</w:t>
            </w:r>
          </w:p>
        </w:tc>
      </w:tr>
      <w:tr>
        <w:trPr/>
        <w:tc>
          <w:tcPr>
            <w:tcW w:w="3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Greater than or equal to 35% but less than 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1.45%</w:t>
            </w:r>
          </w:p>
        </w:tc>
      </w:tr>
      <w:tr>
        <w:trPr/>
        <w:tc>
          <w:tcPr>
            <w:tcW w:w="3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Greater than or equal to 40% but less than 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1.55%</w:t>
            </w:r>
          </w:p>
        </w:tc>
      </w:tr>
      <w:tr>
        <w:trPr/>
        <w:tc>
          <w:tcPr>
            <w:tcW w:w="3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Greater than or equal to 45% but less than 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1.75%</w:t>
            </w:r>
          </w:p>
        </w:tc>
      </w:tr>
      <w:tr>
        <w:trPr/>
        <w:tc>
          <w:tcPr>
            <w:tcW w:w="3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Greater than or equal to 50% but less than 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1.85%</w:t>
            </w:r>
          </w:p>
        </w:tc>
      </w:tr>
      <w:tr>
        <w:trPr/>
        <w:tc>
          <w:tcPr>
            <w:tcW w:w="3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Greater than or equal to 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2.20%</w:t>
            </w:r>
          </w:p>
        </w:tc>
      </w:tr>
    </w:tbl>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Credit Facility contains various financial covenants. A summary of the most significant covenants is as follows:</w:t>
      </w:r>
    </w:p>
    <w:tbl>
      <w:tblPr>
        <w:tblW w:w="9866" w:type="dxa"/>
        <w:jc w:val="center"/>
        <w:tblInd w:w="0" w:type="dxa"/>
        <w:tblLayout w:type="fixed"/>
        <w:tblCellMar>
          <w:top w:w="28" w:type="dxa"/>
          <w:left w:w="28" w:type="dxa"/>
          <w:bottom w:w="28" w:type="dxa"/>
          <w:right w:w="28" w:type="dxa"/>
        </w:tblCellMar>
      </w:tblPr>
      <w:tblGrid>
        <w:gridCol w:w="1836"/>
        <w:gridCol w:w="1614"/>
        <w:gridCol w:w="1620"/>
        <w:gridCol w:w="993"/>
        <w:gridCol w:w="993"/>
        <w:gridCol w:w="999"/>
        <w:gridCol w:w="109"/>
        <w:gridCol w:w="109"/>
        <w:gridCol w:w="109"/>
        <w:gridCol w:w="433"/>
        <w:gridCol w:w="433"/>
        <w:gridCol w:w="618"/>
      </w:tblGrid>
      <w:tr>
        <w:trPr/>
        <w:tc>
          <w:tcPr>
            <w:tcW w:w="1836"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Actual at</w:t>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Covenant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Maximum leverage ratio </w:t>
            </w:r>
            <w:r>
              <w:rPr>
                <w:rFonts w:ascii="Times New Roman;serif" w:hAnsi="Times New Roman;serif"/>
                <w:b w:val="false"/>
                <w:color w:val="000000"/>
                <w:sz w:val="13"/>
              </w:rPr>
              <w:t>(1)</w:t>
            </w:r>
          </w:p>
        </w:tc>
        <w:tc>
          <w:tcPr>
            <w:tcW w:w="29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27.2%</w:t>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Minimum fixed charge coverage ratio </w:t>
            </w:r>
            <w:r>
              <w:rPr>
                <w:rFonts w:ascii="Times New Roman;serif" w:hAnsi="Times New Roman;serif"/>
                <w:b w:val="false"/>
                <w:color w:val="000000"/>
                <w:sz w:val="13"/>
              </w:rPr>
              <w:t>(2)</w:t>
            </w:r>
          </w:p>
        </w:tc>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1.50x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3.68x</w:t>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Secured recourse indebtedness</w:t>
            </w:r>
          </w:p>
        </w:tc>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Less than 45% of Total Asset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Maximum unencumbered leverage ratio</w:t>
            </w:r>
          </w:p>
        </w:tc>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31.3%</w:t>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Minimum unencumbered implied debt service coverage ratio</w:t>
            </w:r>
          </w:p>
        </w:tc>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1.20x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2.39x</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(1)Leverage ratio is net indebtedness, as defined in the Credit Facility, divided by total asset value, defined in the Credit Facility as the value of our owned hotels based on hotel net operating income divided by a defined capitalization rate.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(2)Fixed charge coverage ratio is Adjusted EBITDA, generally defined in the Credit Facility as EBITDA less FF&amp;E reserves, for the most recent trailing 12 month period, to fixed charges, which is defined in the Credit Facility as interest expense, all regularly scheduled principal payments and payments on capitalized lease obligations, for the same 12 month period. </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components of the Company's interest expense consist of the following (in thousands):</w:t>
      </w:r>
    </w:p>
    <w:p>
      <w:pPr>
        <w:pStyle w:val="TextBody"/>
        <w:bidi w:val="0"/>
        <w:spacing w:before="0" w:after="0"/>
        <w:ind w:left="0" w:right="0" w:firstLine="450"/>
        <w:jc w:val="both"/>
        <w:rPr/>
      </w:pPr>
      <w:r>
        <w:rPr/>
      </w:r>
    </w:p>
    <w:tbl>
      <w:tblPr>
        <w:tblW w:w="6595" w:type="dxa"/>
        <w:jc w:val="left"/>
        <w:tblInd w:w="0" w:type="dxa"/>
        <w:tblLayout w:type="fixed"/>
        <w:tblCellMar>
          <w:top w:w="28" w:type="dxa"/>
          <w:left w:w="28" w:type="dxa"/>
          <w:bottom w:w="28" w:type="dxa"/>
          <w:right w:w="28" w:type="dxa"/>
        </w:tblCellMar>
      </w:tblPr>
      <w:tblGrid>
        <w:gridCol w:w="1085"/>
        <w:gridCol w:w="955"/>
        <w:gridCol w:w="959"/>
        <w:gridCol w:w="109"/>
        <w:gridCol w:w="109"/>
        <w:gridCol w:w="109"/>
        <w:gridCol w:w="244"/>
        <w:gridCol w:w="835"/>
        <w:gridCol w:w="126"/>
        <w:gridCol w:w="126"/>
        <w:gridCol w:w="126"/>
        <w:gridCol w:w="126"/>
        <w:gridCol w:w="244"/>
        <w:gridCol w:w="835"/>
        <w:gridCol w:w="126"/>
        <w:gridCol w:w="109"/>
        <w:gridCol w:w="109"/>
        <w:gridCol w:w="109"/>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 term loan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debt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facility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Finance lease expense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14,690 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15,158 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w:t>
      </w:r>
    </w:p>
    <w:p>
      <w:pPr>
        <w:pStyle w:val="TextBody"/>
        <w:bidi w:val="0"/>
        <w:spacing w:lineRule="auto" w:line="26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(1)Represents the interest expense associated with the ground lease on the Courtyard New York Manhattan/Fifth Avenue. </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5. Derivatives</w:t>
      </w:r>
    </w:p>
    <w:p>
      <w:pPr>
        <w:pStyle w:val="TextBody"/>
        <w:bidi w:val="0"/>
        <w:spacing w:before="0" w:after="0"/>
        <w:jc w:val="left"/>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have the following derivatives (dollars in thousands):</w:t>
      </w:r>
    </w:p>
    <w:p>
      <w:pPr>
        <w:pStyle w:val="TextBody"/>
        <w:bidi w:val="0"/>
        <w:spacing w:before="0" w:after="0"/>
        <w:ind w:left="0" w:right="0" w:firstLine="49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1b516d80a41493185453891bf22759d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31"/>
        <w:gridCol w:w="312"/>
        <w:gridCol w:w="283"/>
        <w:gridCol w:w="109"/>
        <w:gridCol w:w="109"/>
        <w:gridCol w:w="109"/>
        <w:gridCol w:w="159"/>
        <w:gridCol w:w="159"/>
        <w:gridCol w:w="163"/>
        <w:gridCol w:w="109"/>
        <w:gridCol w:w="109"/>
        <w:gridCol w:w="109"/>
        <w:gridCol w:w="233"/>
        <w:gridCol w:w="233"/>
        <w:gridCol w:w="315"/>
        <w:gridCol w:w="109"/>
        <w:gridCol w:w="109"/>
        <w:gridCol w:w="109"/>
        <w:gridCol w:w="170"/>
        <w:gridCol w:w="170"/>
        <w:gridCol w:w="171"/>
        <w:gridCol w:w="109"/>
        <w:gridCol w:w="109"/>
        <w:gridCol w:w="109"/>
        <w:gridCol w:w="286"/>
        <w:gridCol w:w="286"/>
        <w:gridCol w:w="288"/>
        <w:gridCol w:w="109"/>
        <w:gridCol w:w="109"/>
        <w:gridCol w:w="109"/>
        <w:gridCol w:w="289"/>
        <w:gridCol w:w="289"/>
        <w:gridCol w:w="290"/>
        <w:gridCol w:w="109"/>
        <w:gridCol w:w="109"/>
        <w:gridCol w:w="109"/>
        <w:gridCol w:w="209"/>
        <w:gridCol w:w="787"/>
        <w:gridCol w:w="116"/>
        <w:gridCol w:w="109"/>
        <w:gridCol w:w="109"/>
        <w:gridCol w:w="109"/>
        <w:gridCol w:w="205"/>
        <w:gridCol w:w="583"/>
        <w:gridCol w:w="114"/>
        <w:gridCol w:w="114"/>
        <w:gridCol w:w="114"/>
        <w:gridCol w:w="114"/>
        <w:gridCol w:w="264"/>
        <w:gridCol w:w="575"/>
        <w:gridCol w:w="194"/>
      </w:tblGrid>
      <w:tr>
        <w:trPr/>
        <w:tc>
          <w:tcPr>
            <w:tcW w:w="43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of Assets (Liabilities)</w:t>
            </w:r>
          </w:p>
        </w:tc>
      </w:tr>
      <w:tr>
        <w:trPr/>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Hedged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Fixed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Index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Effective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r>
      <w:tr>
        <w:trPr/>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r>
      <w:tr>
        <w:trPr/>
        <w:tc>
          <w:tcPr>
            <w:tcW w:w="10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Unsecured term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SOFR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March 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January 1,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Unsecured term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3.50 </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SOFR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March 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January 1,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Unsecured term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3.27 </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SOFR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October 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January 1,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Unsecured term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3.27 </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SOFR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October 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January 1,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Unsecured term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3.07 </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SOFR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January 2,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January 1,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Unsecured term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3.25 </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SOFR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January 2,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January 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Unsecured term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3.29 </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SOFR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January 2,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January 1,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Unsecured term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3.07 </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SOFR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January 4,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January 1,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450,000 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1,702 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Interest rate swaps designated as cash flow hedges involve the receipt of variable-rate amounts from a counterparty in exchange for the Company making fixed-rate payments over the life of the agreements without exchange of the underlying notional amount. During 2026, such derivatives were used to hedge the variable cash flows associated with variable-rate debt. </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table below details the location in the consolidated financial statements of the gains and losses recognized related to derivative financial instruments (in thousands):</w:t>
      </w:r>
    </w:p>
    <w:p>
      <w:pPr>
        <w:pStyle w:val="TextBody"/>
        <w:bidi w:val="0"/>
        <w:spacing w:before="0" w:after="0"/>
        <w:ind w:left="0" w:right="0" w:firstLine="450"/>
        <w:jc w:val="both"/>
        <w:rPr/>
      </w:pPr>
      <w:r>
        <w:rPr/>
      </w:r>
    </w:p>
    <w:tbl>
      <w:tblPr>
        <w:tblW w:w="10205" w:type="dxa"/>
        <w:jc w:val="left"/>
        <w:tblInd w:w="0" w:type="dxa"/>
        <w:tblLayout w:type="fixed"/>
        <w:tblCellMar>
          <w:top w:w="28" w:type="dxa"/>
          <w:left w:w="28" w:type="dxa"/>
          <w:bottom w:w="28" w:type="dxa"/>
          <w:right w:w="28" w:type="dxa"/>
        </w:tblCellMar>
      </w:tblPr>
      <w:tblGrid>
        <w:gridCol w:w="1387"/>
        <w:gridCol w:w="1079"/>
        <w:gridCol w:w="1086"/>
        <w:gridCol w:w="109"/>
        <w:gridCol w:w="109"/>
        <w:gridCol w:w="109"/>
        <w:gridCol w:w="1022"/>
        <w:gridCol w:w="1022"/>
        <w:gridCol w:w="1024"/>
        <w:gridCol w:w="109"/>
        <w:gridCol w:w="109"/>
        <w:gridCol w:w="109"/>
        <w:gridCol w:w="230"/>
        <w:gridCol w:w="719"/>
        <w:gridCol w:w="118"/>
        <w:gridCol w:w="118"/>
        <w:gridCol w:w="118"/>
        <w:gridCol w:w="118"/>
        <w:gridCol w:w="230"/>
        <w:gridCol w:w="673"/>
        <w:gridCol w:w="118"/>
        <w:gridCol w:w="109"/>
        <w:gridCol w:w="109"/>
        <w:gridCol w:w="109"/>
        <w:gridCol w:w="162"/>
      </w:tblGrid>
      <w:tr>
        <w:trPr/>
        <w:tc>
          <w:tcPr>
            <w:tcW w:w="138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35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Effect of 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Location in Statements of Operations and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recognized in 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(gain) on interest rate derivative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(expense) for derivatives that were designated as cash flow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1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w:t>
            </w:r>
          </w:p>
        </w:tc>
        <w:tc>
          <w:tcPr>
            <w:tcW w:w="11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During the next 12 months, we estimate that $1.0 million will be reclassified from other comprehensive income as a decrease to interest expense.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6. Fair Value Measurements</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fair value of certain financial assets and liabilities and other financial instruments are as follows (in thousands):</w:t>
      </w:r>
    </w:p>
    <w:p>
      <w:pPr>
        <w:pStyle w:val="TextBody"/>
        <w:bidi w:val="0"/>
        <w:spacing w:before="0" w:after="0"/>
        <w:ind w:left="0" w:right="0" w:firstLine="495"/>
        <w:jc w:val="both"/>
        <w:rPr/>
      </w:pPr>
      <w:r>
        <w:rPr/>
      </w:r>
    </w:p>
    <w:tbl>
      <w:tblPr>
        <w:tblW w:w="6721" w:type="dxa"/>
        <w:jc w:val="left"/>
        <w:tblInd w:w="0" w:type="dxa"/>
        <w:tblLayout w:type="fixed"/>
        <w:tblCellMar>
          <w:top w:w="28" w:type="dxa"/>
          <w:left w:w="28" w:type="dxa"/>
          <w:bottom w:w="28" w:type="dxa"/>
          <w:right w:w="28" w:type="dxa"/>
        </w:tblCellMar>
      </w:tblPr>
      <w:tblGrid>
        <w:gridCol w:w="185"/>
        <w:gridCol w:w="162"/>
        <w:gridCol w:w="164"/>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Carrying</w:t>
            </w:r>
          </w:p>
          <w:p>
            <w:pPr>
              <w:pStyle w:val="TableContents"/>
              <w:bidi w:val="0"/>
              <w:spacing w:lineRule="auto" w:line="240" w:before="0" w:after="0"/>
              <w:jc w:val="center"/>
              <w:rPr/>
            </w:pPr>
            <w:r>
              <w:rPr>
                <w:color w:val="000000"/>
              </w:rPr>
              <w:t>   </w:t>
            </w:r>
            <w:r>
              <w:rPr>
                <w:rFonts w:ascii="Times New Roman;serif" w:hAnsi="Times New Roman;serif"/>
                <w:b/>
                <w:color w:val="000000"/>
                <w:sz w:val="20"/>
              </w:rPr>
              <w:t xml:space="preserve">Amount </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Carrying</w:t>
            </w:r>
          </w:p>
          <w:p>
            <w:pPr>
              <w:pStyle w:val="TableContents"/>
              <w:bidi w:val="0"/>
              <w:spacing w:lineRule="auto" w:line="240" w:before="0" w:after="0"/>
              <w:jc w:val="center"/>
              <w:rPr/>
            </w:pPr>
            <w:r>
              <w:rPr>
                <w:color w:val="000000"/>
              </w:rPr>
              <w:t>    </w:t>
            </w:r>
            <w:r>
              <w:rPr>
                <w:rFonts w:ascii="Times New Roman;serif" w:hAnsi="Times New Roman;serif"/>
                <w:b/>
                <w:color w:val="000000"/>
                <w:sz w:val="20"/>
              </w:rPr>
              <w:t xml:space="preserve">Amount </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1,098,944 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1,098,850 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(1)The carrying amount of debt is net of unamortized debt issuance costs.</w:t>
      </w:r>
    </w:p>
    <w:p>
      <w:pPr>
        <w:pStyle w:val="TextBody"/>
        <w:bidi w:val="0"/>
        <w:spacing w:before="0" w:after="0"/>
        <w:ind w:left="0" w:right="0" w:firstLine="495"/>
        <w:jc w:val="both"/>
        <w:rPr/>
      </w:pPr>
      <w:r>
        <w:rPr/>
      </w:r>
    </w:p>
    <w:p>
      <w:pPr>
        <w:pStyle w:val="TextBody"/>
        <w:bidi w:val="0"/>
        <w:spacing w:lineRule="auto" w:line="268" w:before="0" w:after="0"/>
        <w:ind w:left="0" w:right="0" w:firstLine="495"/>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fair value of our interest rate swaps is a Level 2 measurement under the fair value hierarchy. We estimate the fair value of the interest rate swaps based on the interest rate yield curve and implied market volatility as inputs and adjusted for the counterparty's credit risk. We concluded the inputs for the credit risk valuation adjustment are Level 3 inputs; however these inputs are not significant to the fair value measurement in its entirety. </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values of our other financial instruments not included in the table above are estimated to be equal to their carrying amount. </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7. Equity</w:t>
      </w:r>
    </w:p>
    <w:p>
      <w:pPr>
        <w:pStyle w:val="TextBody"/>
        <w:bidi w:val="0"/>
        <w:spacing w:before="0" w:after="0"/>
        <w:jc w:val="both"/>
        <w:rPr/>
      </w:pPr>
      <w:r>
        <w:rPr/>
      </w:r>
    </w:p>
    <w:p>
      <w:pPr>
        <w:pStyle w:val="TextBody"/>
        <w:bidi w:val="0"/>
        <w:spacing w:lineRule="auto" w:line="288" w:before="0" w:after="0"/>
        <w:ind w:left="0" w:right="0" w:firstLine="135"/>
        <w:jc w:val="both"/>
        <w:rPr>
          <w:rFonts w:ascii="Times New Roman;serif" w:hAnsi="Times New Roman;serif"/>
          <w:b/>
          <w:i/>
          <w:color w:val="000000"/>
          <w:sz w:val="20"/>
        </w:rPr>
      </w:pPr>
      <w:r>
        <w:rPr>
          <w:rFonts w:ascii="Times New Roman;serif" w:hAnsi="Times New Roman;serif"/>
          <w:b/>
          <w:i/>
          <w:color w:val="000000"/>
          <w:sz w:val="20"/>
        </w:rPr>
        <w:t>Common Shares</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are authorized by our charter to issue up to 400 million shares of common stock, $0.01 par value per share. Each outstanding share of common stock entitles the holder to one vote on all matters submitted to a vote of stockholders. Holders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1b516d80a41493185453891bf22759d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common stock are entitled to receive dividends out of assets legally available for the payment of dividends when authorized by our board of directors.</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In August 2024, our board of directors approved an “at-the-market” equity offering program (the “ATM Program”), pursuant to which we may issue and sell shares of our common stock from time to time, having an aggregate offering price of up to $200.0 million. No shares were sold under the ATM Program during the three months ended March 31, 2026. </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board of directors has authorized the repurchase of up to $200.0 million of our common stock under a share repurchase program. The timing and actual number of shares repurchased will depend on a variety of factors, including price and general business and market conditions. The share repurchase program does not obligate us to acquire any particular amount of shares, and may be suspended or discontinued at any time at our discretion. We did not repurchase any shares of common stock during the three months ended March 31, 2026. During the three months ended March 31, 2025, we repurchased 1,413,643 shares of common stock at an average price of $7.85 per share for a total purchase price of $11.1 million under this program. Subsequent to March 31, 2026, we repurchased 136,364 shares of common stock at an average price of $9.38 per share for a total purchase price of $1.3 million under this program. On April 28, 2026, our board of directors approved a new share repurchase program, which replaced the previously authorized program. The new share repurchase program is effective May 1, 2026 and authorizes us to repurchase up to $300.0 million of common stock. The new program will expire on May 1, 2028.</w:t>
      </w:r>
    </w:p>
    <w:p>
      <w:pPr>
        <w:pStyle w:val="TextBody"/>
        <w:bidi w:val="0"/>
        <w:spacing w:before="0" w:after="0"/>
        <w:ind w:left="0" w:right="0" w:firstLine="495"/>
        <w:jc w:val="both"/>
        <w:rPr/>
      </w:pPr>
      <w:r>
        <w:rPr/>
      </w:r>
    </w:p>
    <w:p>
      <w:pPr>
        <w:pStyle w:val="TextBody"/>
        <w:bidi w:val="0"/>
        <w:spacing w:lineRule="auto" w:line="288" w:before="0" w:after="0"/>
        <w:ind w:left="0" w:right="0" w:firstLine="135"/>
        <w:jc w:val="both"/>
        <w:rPr>
          <w:rFonts w:ascii="Times New Roman;serif" w:hAnsi="Times New Roman;serif"/>
          <w:b/>
          <w:i/>
          <w:color w:val="000000"/>
          <w:sz w:val="20"/>
        </w:rPr>
      </w:pPr>
      <w:r>
        <w:rPr>
          <w:rFonts w:ascii="Times New Roman;serif" w:hAnsi="Times New Roman;serif"/>
          <w:b/>
          <w:i/>
          <w:color w:val="000000"/>
          <w:sz w:val="20"/>
        </w:rPr>
        <w:t>Preferred Shares</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are authorized by our charter to issue up to 10 million shares of preferred stock, $0.01 par value per share. Our board of directors is required to set for each class or series of preferred stock the terms, preferences, conversion or other rights, voting powers, restrictions, limitations as to dividends or other distributions, qualifications, and terms or conditions of redemption. </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31, 2025, we redeemed all 4,760,000 outstanding shares of our 8.250% Series A Cumulative Redeemable Preferred Stock. As of March 31, 2026 and December 31, 2025, we had no preferred stock issued or outstanding. </w:t>
      </w:r>
    </w:p>
    <w:p>
      <w:pPr>
        <w:pStyle w:val="TextBody"/>
        <w:bidi w:val="0"/>
        <w:spacing w:before="0" w:after="0"/>
        <w:ind w:left="0" w:right="0" w:firstLine="495"/>
        <w:jc w:val="both"/>
        <w:rPr/>
      </w:pPr>
      <w:r>
        <w:rPr/>
      </w:r>
    </w:p>
    <w:p>
      <w:pPr>
        <w:pStyle w:val="TextBody"/>
        <w:bidi w:val="0"/>
        <w:spacing w:lineRule="auto" w:line="288" w:before="0" w:after="0"/>
        <w:ind w:left="0" w:right="0" w:firstLine="135"/>
        <w:jc w:val="both"/>
        <w:rPr>
          <w:rFonts w:ascii="Times New Roman;serif" w:hAnsi="Times New Roman;serif"/>
          <w:b/>
          <w:i/>
          <w:color w:val="000000"/>
          <w:sz w:val="20"/>
        </w:rPr>
      </w:pPr>
      <w:r>
        <w:rPr>
          <w:rFonts w:ascii="Times New Roman;serif" w:hAnsi="Times New Roman;serif"/>
          <w:b/>
          <w:i/>
          <w:color w:val="000000"/>
          <w:sz w:val="20"/>
        </w:rPr>
        <w:t>Operating Partnership Units</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our acquisition of Cavallo Point, The Lodge at the Golden Gate in December 2018, we issued 796,684 common OP units to third parties, otherwise unaffiliated with the Company, then valued at $11.76 per unit. Each common OP unit is redeemable at the option of the holder. Holders of common OP units have certain redemption rights, which enable them to cause our operating partnership to redeem their units in exchange for cash per unit equal to the market price of our common stock, at the time of redemption, or, at our option, for shares of our common stock on a one-for-one basis, subject to adjustment upon the occurrence of stock splits, mergers, consolidations or similar pro-rata share transactions. As of March 31, 2026, there were 421,244 common OP units still outstanding; the other 375,440 common OP units issued in connection with the acquisition have been converted to common stock. </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Long-Term Incentive Partnership units (“LTIP units”), which are also referred to as profits interest units, may be issued to eligible participants under the 2024 Equity Incentive Plan for the performance of services to or for the benefit of our operating partnership. LTIP units are a class of partnership unit in our operating partnership and will receive, whether vested or not, the same per-unit distributions as the outstanding common OP units, which equal per-share dividends on shares of our common stock. Initially, LTIP units have a capital account balance of zero, do not receive an allocation of operating income (loss), and do not have full parity with common OP units with respect to liquidating distributions. If such parity is reached, vested LTIP units are converted into an equal number of common OP units, and thereafter will possess all of the rights and interests of common OP units, including the right to exchange the common OP units for cash per unit equal to the market price of our common stock, at the time of redemption, or, at our option, for shares of our common stock on a one-for-one basis, subject to adjustment upon the occurrence of stock splits, mergers, consolidations or similar pro-rata share transactions. See Note 8 for additional disclosures related to LTIP units. </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There were 628,734 and 1,041,362 common OP units held by third parties and executive officers of the Company as of March 31, 2026 and December 31, 2025, respectively. During the quarter ended March 31, 2026, 445,120 common OP units were redeemed and converted to common stock. There were 60,926 and 93,418 unvested LTIP units outstanding as of March 31, 2026 and December 31, 2025, respectively.</w:t>
      </w:r>
    </w:p>
    <w:p>
      <w:pPr>
        <w:pStyle w:val="TextBody"/>
        <w:bidi w:val="0"/>
        <w:spacing w:before="0" w:after="0"/>
        <w:ind w:left="0" w:right="0" w:firstLine="495"/>
        <w:jc w:val="both"/>
        <w:rPr/>
      </w:pPr>
      <w:r>
        <w:rPr/>
      </w:r>
    </w:p>
    <w:p>
      <w:pPr>
        <w:pStyle w:val="TextBody"/>
        <w:bidi w:val="0"/>
        <w:spacing w:lineRule="auto" w:line="288" w:before="0" w:after="0"/>
        <w:ind w:left="0" w:right="0" w:firstLine="135"/>
        <w:jc w:val="both"/>
        <w:rPr>
          <w:rFonts w:ascii="Times New Roman;serif" w:hAnsi="Times New Roman;serif"/>
          <w:b/>
          <w:i/>
          <w:color w:val="000000"/>
          <w:sz w:val="20"/>
        </w:rPr>
      </w:pPr>
      <w:r>
        <w:rPr>
          <w:rFonts w:ascii="Times New Roman;serif" w:hAnsi="Times New Roman;serif"/>
          <w:b/>
          <w:i/>
          <w:color w:val="000000"/>
          <w:sz w:val="20"/>
        </w:rPr>
        <w:t>Dividends and Distributions</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2026, we paid the following dividends to holders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1b516d80a41493185453891bf22759d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before="0" w:after="0"/>
        <w:ind w:left="0" w:right="0" w:firstLine="450"/>
        <w:jc w:val="both"/>
        <w:rPr/>
      </w:pPr>
      <w:r>
        <w:rPr/>
      </w:r>
    </w:p>
    <w:tbl>
      <w:tblPr>
        <w:tblW w:w="5243" w:type="dxa"/>
        <w:jc w:val="center"/>
        <w:tblInd w:w="0" w:type="dxa"/>
        <w:tblLayout w:type="fixed"/>
        <w:tblCellMar>
          <w:top w:w="28" w:type="dxa"/>
          <w:left w:w="28" w:type="dxa"/>
          <w:bottom w:w="28" w:type="dxa"/>
          <w:right w:w="28" w:type="dxa"/>
        </w:tblCellMar>
      </w:tblPr>
      <w:tblGrid>
        <w:gridCol w:w="548"/>
        <w:gridCol w:w="482"/>
        <w:gridCol w:w="485"/>
        <w:gridCol w:w="109"/>
        <w:gridCol w:w="109"/>
        <w:gridCol w:w="109"/>
        <w:gridCol w:w="559"/>
        <w:gridCol w:w="559"/>
        <w:gridCol w:w="562"/>
        <w:gridCol w:w="109"/>
        <w:gridCol w:w="109"/>
        <w:gridCol w:w="109"/>
        <w:gridCol w:w="335"/>
        <w:gridCol w:w="813"/>
        <w:gridCol w:w="246"/>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Dividend </w:t>
              <w:br/>
              <w:t>per Share/Unit</w:t>
            </w:r>
          </w:p>
        </w:tc>
      </w:tr>
      <w:tr>
        <w:trPr/>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14,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14,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8. Equity Incentive Plans</w:t>
      </w:r>
    </w:p>
    <w:p>
      <w:pPr>
        <w:pStyle w:val="TextBody"/>
        <w:bidi w:val="0"/>
        <w:spacing w:before="0" w:after="0"/>
        <w:jc w:val="both"/>
        <w:rPr/>
      </w:pPr>
      <w:r>
        <w:rPr/>
      </w:r>
    </w:p>
    <w:p>
      <w:pPr>
        <w:pStyle w:val="TextBody"/>
        <w:bidi w:val="0"/>
        <w:spacing w:lineRule="auto" w:line="288" w:before="0" w:after="0"/>
        <w:ind w:left="0" w:right="0" w:firstLine="495"/>
        <w:jc w:val="both"/>
        <w:rPr/>
      </w:pPr>
      <w:r>
        <w:rPr>
          <w:rFonts w:ascii="Times New Roman;serif" w:hAnsi="Times New Roman;serif"/>
          <w:b w:val="false"/>
          <w:color w:val="000000"/>
          <w:sz w:val="20"/>
        </w:rPr>
        <w:t>We are authorized to issue up to 7,900,000 shares of our common stock under our 2024 Equity Incentive Plan (the “2024 Plan”), of which we have issued or committed to</w:t>
      </w:r>
      <w:r>
        <w:rPr>
          <w:color w:val="000000"/>
          <w:shd w:fill="FFFFFF" w:val="clear"/>
        </w:rPr>
        <w:t xml:space="preserve"> </w:t>
      </w:r>
      <w:r>
        <w:rPr>
          <w:rFonts w:ascii="Times New Roman;serif" w:hAnsi="Times New Roman;serif"/>
          <w:b w:val="false"/>
          <w:color w:val="000000"/>
          <w:sz w:val="20"/>
          <w:shd w:fill="FFFFFF" w:val="clear"/>
        </w:rPr>
        <w:t xml:space="preserve">issue </w:t>
      </w:r>
      <w:r>
        <w:rPr>
          <w:rFonts w:ascii="Times New Roman;serif" w:hAnsi="Times New Roman;serif"/>
          <w:b w:val="false"/>
          <w:color w:val="000000"/>
          <w:sz w:val="20"/>
        </w:rPr>
        <w:t>4,042,105</w:t>
      </w:r>
      <w:r>
        <w:rPr>
          <w:color w:val="000000"/>
          <w:shd w:fill="FFFFFF" w:val="clear"/>
        </w:rPr>
        <w:t xml:space="preserve"> </w:t>
      </w:r>
      <w:r>
        <w:rPr>
          <w:rFonts w:ascii="Times New Roman;serif" w:hAnsi="Times New Roman;serif"/>
          <w:b w:val="false"/>
          <w:color w:val="000000"/>
          <w:sz w:val="20"/>
          <w:shd w:fill="FFFFFF" w:val="clear"/>
        </w:rPr>
        <w:t>share</w:t>
      </w:r>
      <w:r>
        <w:rPr>
          <w:rFonts w:ascii="Times New Roman;serif" w:hAnsi="Times New Roman;serif"/>
          <w:b w:val="false"/>
          <w:color w:val="000000"/>
          <w:sz w:val="20"/>
        </w:rPr>
        <w:t>s as of March 31, 2026. Shares underlying awards that are granted under the 2024 Plan that are forfeited, cancelled, reacquired prior to vesting, satisfied without the issuance of stock or otherwise terminated (other than by exercise), including shares tendered or held back upon settlement of an award, other than a stock option or stock appreciation right, to cover the tax withholding will be added back to the shares available for issuance under the 2024 Plan.</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Restricted Stock Awards</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Restricted stock awards issued to our officers and employees generally vest over a three to five year period from the date of grant based on continued employment. We measure compensation expense for the restricted stock awards based upon the fair market value of our common stock at the date of grant. Compensation expense is recognized on a straight-line basis over the vesting period and is included in corporate expenses in the accompanying consolidated statements of operations and comprehensive income. A summary of our restricted stock awards from January 1, 2026 to March 31, 2026 is as follows:</w:t>
      </w:r>
    </w:p>
    <w:tbl>
      <w:tblPr>
        <w:tblW w:w="6077" w:type="dxa"/>
        <w:jc w:val="left"/>
        <w:tblInd w:w="0" w:type="dxa"/>
        <w:tblLayout w:type="fixed"/>
        <w:tblCellMar>
          <w:top w:w="28" w:type="dxa"/>
          <w:left w:w="28" w:type="dxa"/>
          <w:bottom w:w="28" w:type="dxa"/>
          <w:right w:w="28" w:type="dxa"/>
        </w:tblCellMar>
      </w:tblPr>
      <w:tblGrid>
        <w:gridCol w:w="1119"/>
        <w:gridCol w:w="983"/>
        <w:gridCol w:w="987"/>
        <w:gridCol w:w="449"/>
        <w:gridCol w:w="451"/>
        <w:gridCol w:w="336"/>
        <w:gridCol w:w="109"/>
        <w:gridCol w:w="109"/>
        <w:gridCol w:w="109"/>
        <w:gridCol w:w="342"/>
        <w:gridCol w:w="831"/>
        <w:gridCol w:w="252"/>
      </w:tblGrid>
      <w:tr>
        <w:trPr/>
        <w:tc>
          <w:tcPr>
            <w:tcW w:w="111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w:t>
              <w:br/>
              <w:t>Average Grant</w:t>
              <w:br/>
              <w:t>Date Fair</w:t>
              <w:br/>
              <w:t>Value</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balance at January 1, 2026</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841,105 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465,584 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(395,037)</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balance at March 31, 2026</w:t>
            </w:r>
          </w:p>
        </w:tc>
        <w:tc>
          <w:tcPr>
            <w:tcW w:w="9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911,652 </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9.11 </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total unvested restricted stock awards as of March 31, 2026 are expected to vest as follows: 12,430 during 2026, 424,690 during 2027, 320,099 during 2028, and 154,433 during 2029. As of March 31, 2026, the unrecognized compensation cost related to restricted stock awards was $7.9 million and the weighted-average period over which the unrecognized compensation expense will be recorded is approximately 29 months. We recorded $0.9 million and $0.7 million of compensation expense related to restricted stock awards for the three months ended March 31, 2026 and 2025, respectively. </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Performance Stock Units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Performance stock units (“PSUs”) are restricted stock units that generally vest three years from the date of grant. Each executive officer is granted a target number of PSUs (the “PSU Target Award”). For PSUs granted in 2025 and 2026, the actual number of shares of common stock issued to each executive officer is based on the Company's achievement of certain levels of total stockholder return relative to the total stockholder return of a peer group of publicly-traded lodging REITs measured over a three-year performance period. There is no payout of shares of our common stock if our total stockholder return falls below the 30th percentile of the total stockholder returns of the peer group. The maximum number of shares of common stock issued to an executive officer is equal to 300% of the PSU Target Award and is earned if our total stockholder return is equal to or greater than the 90th percentile of the total stockholder returns of the peer group. There are limitations on the number of PSUs earned if the Company's total stockholder return is negative for the performance period. </w:t>
      </w:r>
    </w:p>
    <w:p>
      <w:pPr>
        <w:pStyle w:val="TextBody"/>
        <w:bidi w:val="0"/>
        <w:spacing w:before="0" w:after="0"/>
        <w:ind w:left="0" w:right="0" w:firstLine="450"/>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measure compensation expense for the PSUs based upon the fair market value of the award at the grant date. Compensation expense is recognized on a straight-line basis over the vesting period and is included in corporate expenses in the accompanying consolidated statements of operations and comprehensive income. The grant date fair value is determined using a Monte Carlo simulation performed by a third-party valuation firm. The determination of the grant-date fair values of our outstanding PSUs as of March 31, 2026 included the following assumptions: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1b516d80a41493185453891bf22759d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584"/>
        <w:gridCol w:w="513"/>
        <w:gridCol w:w="515"/>
        <w:gridCol w:w="109"/>
        <w:gridCol w:w="109"/>
        <w:gridCol w:w="109"/>
        <w:gridCol w:w="305"/>
        <w:gridCol w:w="305"/>
        <w:gridCol w:w="306"/>
        <w:gridCol w:w="109"/>
        <w:gridCol w:w="109"/>
        <w:gridCol w:w="109"/>
        <w:gridCol w:w="444"/>
        <w:gridCol w:w="444"/>
        <w:gridCol w:w="446"/>
        <w:gridCol w:w="109"/>
        <w:gridCol w:w="109"/>
        <w:gridCol w:w="109"/>
        <w:gridCol w:w="877"/>
        <w:gridCol w:w="877"/>
        <w:gridCol w:w="879"/>
        <w:gridCol w:w="109"/>
        <w:gridCol w:w="109"/>
        <w:gridCol w:w="109"/>
        <w:gridCol w:w="700"/>
        <w:gridCol w:w="700"/>
        <w:gridCol w:w="1002"/>
      </w:tblGrid>
      <w:tr>
        <w:trPr/>
        <w:tc>
          <w:tcPr>
            <w:tcW w:w="584"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r>
      <w:tr>
        <w:trPr/>
        <w:tc>
          <w:tcPr>
            <w:tcW w:w="16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Award 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Volatility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Risk-Free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Stockholder Return PSUs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Hotel Market Share PSUs </w:t>
            </w:r>
            <w:r>
              <w:rPr>
                <w:rFonts w:ascii="Times New Roman;serif" w:hAnsi="Times New Roman;serif"/>
                <w:b/>
                <w:color w:val="000000"/>
                <w:sz w:val="13"/>
              </w:rPr>
              <w:t>(1)</w:t>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2" w:type="dxa"/>
            <w:gridSpan w:val="3"/>
            <w:tcBorders/>
            <w:vAlign w:val="center"/>
          </w:tcPr>
          <w:p>
            <w:pPr>
              <w:pStyle w:val="TableContents"/>
              <w:bidi w:val="0"/>
              <w:spacing w:before="0" w:after="283"/>
              <w:jc w:val="left"/>
              <w:rPr>
                <w:sz w:val="4"/>
                <w:szCs w:val="4"/>
              </w:rPr>
            </w:pPr>
            <w:r>
              <w:rPr>
                <w:sz w:val="4"/>
                <w:szCs w:val="4"/>
              </w:rPr>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2" w:type="dxa"/>
            <w:gridSpan w:val="3"/>
            <w:tcBorders/>
            <w:vAlign w:val="center"/>
          </w:tcPr>
          <w:p>
            <w:pPr>
              <w:pStyle w:val="TableContents"/>
              <w:bidi w:val="0"/>
              <w:spacing w:before="0" w:after="283"/>
              <w:jc w:val="left"/>
              <w:rPr>
                <w:sz w:val="4"/>
                <w:szCs w:val="4"/>
              </w:rPr>
            </w:pPr>
            <w:r>
              <w:rPr>
                <w:sz w:val="4"/>
                <w:szCs w:val="4"/>
              </w:rPr>
            </w:r>
          </w:p>
        </w:tc>
      </w:tr>
      <w:tr>
        <w:trPr/>
        <w:tc>
          <w:tcPr>
            <w:tcW w:w="16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9,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$9.32</w:t>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2" w:type="dxa"/>
            <w:gridSpan w:val="3"/>
            <w:tcBorders/>
            <w:vAlign w:val="center"/>
          </w:tcPr>
          <w:p>
            <w:pPr>
              <w:pStyle w:val="TableContents"/>
              <w:bidi w:val="0"/>
              <w:spacing w:before="0" w:after="283"/>
              <w:jc w:val="left"/>
              <w:rPr>
                <w:sz w:val="4"/>
                <w:szCs w:val="4"/>
              </w:rPr>
            </w:pPr>
            <w:r>
              <w:rPr>
                <w:sz w:val="4"/>
                <w:szCs w:val="4"/>
              </w:rPr>
            </w:r>
          </w:p>
        </w:tc>
      </w:tr>
      <w:tr>
        <w:trPr/>
        <w:tc>
          <w:tcPr>
            <w:tcW w:w="1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7,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$8.72</w:t>
            </w:r>
          </w:p>
        </w:tc>
      </w:tr>
      <w:tr>
        <w:trPr/>
        <w:tc>
          <w:tcPr>
            <w:tcW w:w="1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(1)There were no hotel market share PSUs granted in 2025 and 2026. </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 summary of our PSUs from January 1, 2026 to March 31, 2026 is as follows:</w:t>
      </w:r>
    </w:p>
    <w:tbl>
      <w:tblPr>
        <w:tblW w:w="6208" w:type="dxa"/>
        <w:jc w:val="center"/>
        <w:tblInd w:w="0" w:type="dxa"/>
        <w:tblLayout w:type="fixed"/>
        <w:tblCellMar>
          <w:top w:w="28" w:type="dxa"/>
          <w:left w:w="28" w:type="dxa"/>
          <w:bottom w:w="28" w:type="dxa"/>
          <w:right w:w="28" w:type="dxa"/>
        </w:tblCellMar>
      </w:tblPr>
      <w:tblGrid>
        <w:gridCol w:w="1119"/>
        <w:gridCol w:w="983"/>
        <w:gridCol w:w="987"/>
        <w:gridCol w:w="488"/>
        <w:gridCol w:w="488"/>
        <w:gridCol w:w="391"/>
        <w:gridCol w:w="109"/>
        <w:gridCol w:w="109"/>
        <w:gridCol w:w="109"/>
        <w:gridCol w:w="342"/>
        <w:gridCol w:w="831"/>
        <w:gridCol w:w="252"/>
      </w:tblGrid>
      <w:tr>
        <w:trPr/>
        <w:tc>
          <w:tcPr>
            <w:tcW w:w="111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w:t>
              <w:br/>
              <w:t>Target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w:t>
              <w:br/>
              <w:t>Average Grant</w:t>
              <w:br/>
              <w:t>Date Fair</w:t>
              <w:br/>
              <w:t>Value</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balance at January 1, 2026</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1,467,411 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501,598 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units from dividends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13,574 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Vested </w:t>
            </w:r>
            <w:r>
              <w:rPr>
                <w:rFonts w:ascii="Times New Roman;serif" w:hAnsi="Times New Roman;serif"/>
                <w:b w:val="false"/>
                <w:color w:val="000000"/>
                <w:sz w:val="13"/>
              </w:rPr>
              <w:t>(1)</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(399,570)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balance at March 31, 2026</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1,583,013 </w:t>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9.61 </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(1)The number of shares of common stock earned for the PSUs vested in 2026 was equal to 102.21% of the PSU Target Award.</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total unvested PSUs as of March 31, 2026 are expected to vest as follows: 436,580 during 2027, 640,499 during 2028, and 505,934 during 2029. The number of shares earned upon vesting is subject to the attainment of the performance targets described above. As of March 31, 2026, the unrecognized compensation cost related to the PSUs was $9.5 million and is expected to be recognized on a straight-line basis over a weighted average period of 28 months. We recorded $0.7 million and $0.5 million of compensation expense related to the PSUs for the three months ended March 31, 2026 and 2025,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LTIP Units</w:t>
      </w:r>
    </w:p>
    <w:p>
      <w:pPr>
        <w:pStyle w:val="TextBody"/>
        <w:bidi w:val="0"/>
        <w:spacing w:before="0" w:after="0"/>
        <w:jc w:val="both"/>
        <w:rPr/>
      </w:pPr>
      <w:r>
        <w:rPr/>
      </w:r>
    </w:p>
    <w:p>
      <w:pPr>
        <w:pStyle w:val="TextBody"/>
        <w:bidi w:val="0"/>
        <w:spacing w:lineRule="auto" w:line="288" w:before="0" w:after="20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LTIP units are designed to offer executives a long-term incentive comparable to restricted stock, while potentially allowing them a more favorable income tax treatment. Each year, executives have the option to elect to receive their annual grant of share-based compensation as either LTIP units or restricted stock awards. Each LTIP unit awarded is deemed equivalent to an award of one share of common stock reserved under the 2016 Plan or 2024 Plan, as applicable. At the time of award, LTIP units do not have full economic parity with common OP units, but can achieve such parity over time upon the occurrence of specified events in accordance with partnership tax rules.</w:t>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 summary of our LTIP units from January 1, 2026 to March 31, 2026 is as follows:</w:t>
      </w:r>
    </w:p>
    <w:tbl>
      <w:tblPr>
        <w:tblW w:w="6325" w:type="dxa"/>
        <w:jc w:val="center"/>
        <w:tblInd w:w="0" w:type="dxa"/>
        <w:tblLayout w:type="fixed"/>
        <w:tblCellMar>
          <w:top w:w="28" w:type="dxa"/>
          <w:left w:w="28" w:type="dxa"/>
          <w:bottom w:w="28" w:type="dxa"/>
          <w:right w:w="28" w:type="dxa"/>
        </w:tblCellMar>
      </w:tblPr>
      <w:tblGrid>
        <w:gridCol w:w="1119"/>
        <w:gridCol w:w="983"/>
        <w:gridCol w:w="987"/>
        <w:gridCol w:w="494"/>
        <w:gridCol w:w="494"/>
        <w:gridCol w:w="496"/>
        <w:gridCol w:w="109"/>
        <w:gridCol w:w="109"/>
        <w:gridCol w:w="109"/>
        <w:gridCol w:w="342"/>
        <w:gridCol w:w="831"/>
        <w:gridCol w:w="252"/>
      </w:tblGrid>
      <w:tr>
        <w:trPr/>
        <w:tc>
          <w:tcPr>
            <w:tcW w:w="111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w:t>
              <w:br/>
              <w:t>Average Grant</w:t>
              <w:br/>
              <w:t>Date Fair</w:t>
              <w:br/>
              <w:t>Value</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balance at January 1, 2026</w:t>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93,418 </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Vested </w:t>
            </w:r>
            <w:r>
              <w:rPr>
                <w:rFonts w:ascii="Times New Roman;serif" w:hAnsi="Times New Roman;serif"/>
                <w:b w:val="false"/>
                <w:color w:val="000000"/>
                <w:sz w:val="13"/>
              </w:rPr>
              <w:t>(1)</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(32,492)</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balance at March 31, 2026</w:t>
            </w:r>
          </w:p>
        </w:tc>
        <w:tc>
          <w:tcPr>
            <w:tcW w:w="98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60,926 </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(1)As of March 31, 2026, all vested LTIP units have achieved economic parity with common OP units and have been converted to common OP units. </w:t>
      </w:r>
    </w:p>
    <w:p>
      <w:pPr>
        <w:pStyle w:val="TextBody"/>
        <w:bidi w:val="0"/>
        <w:spacing w:before="0" w:after="0"/>
        <w:jc w:val="center"/>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total unvested LTIP units as of March 31, 2026 are expected to vest as follows: 14,217 during 2026 and 46,709 during 2027. As of March 31, 2026, the unrecognized compensation cost related to LTIP unit awards was $0.4 million and the weighted-average period over which the unrecognized compensation expense will be recorded is approximately 13 months. We recorded $0.1 million of compensation expense related to LTIP unit awards for each of the three months ended March 31, 2026 and 2025. </w:t>
      </w:r>
    </w:p>
    <w:p>
      <w:pPr>
        <w:pStyle w:val="TextBody"/>
        <w:bidi w:val="0"/>
        <w:spacing w:before="0" w:after="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9. Earnings Per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1b516d80a41493185453891bf22759d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is a reconciliation of the calculation of basic and diluted earnings per share (“EPS”):</w:t>
      </w:r>
    </w:p>
    <w:tbl>
      <w:tblPr>
        <w:tblW w:w="9078" w:type="dxa"/>
        <w:jc w:val="center"/>
        <w:tblInd w:w="0" w:type="dxa"/>
        <w:tblLayout w:type="fixed"/>
        <w:tblCellMar>
          <w:top w:w="28" w:type="dxa"/>
          <w:left w:w="28" w:type="dxa"/>
          <w:bottom w:w="28" w:type="dxa"/>
          <w:right w:w="28" w:type="dxa"/>
        </w:tblCellMar>
      </w:tblPr>
      <w:tblGrid>
        <w:gridCol w:w="2013"/>
        <w:gridCol w:w="1766"/>
        <w:gridCol w:w="1786"/>
        <w:gridCol w:w="268"/>
        <w:gridCol w:w="918"/>
        <w:gridCol w:w="132"/>
        <w:gridCol w:w="132"/>
        <w:gridCol w:w="132"/>
        <w:gridCol w:w="132"/>
        <w:gridCol w:w="302"/>
        <w:gridCol w:w="884"/>
        <w:gridCol w:w="132"/>
        <w:gridCol w:w="109"/>
        <w:gridCol w:w="109"/>
        <w:gridCol w:w="109"/>
        <w:gridCol w:w="154"/>
      </w:tblGrid>
      <w:tr>
        <w:trPr/>
        <w:tc>
          <w:tcPr>
            <w:tcW w:w="2013"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3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 (in thousands)</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outstanding—basic</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204,459,146 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208,509,552 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restricted common stock</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361,356 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328,053 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related to unvested PSUs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1,980,376 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1,508,465 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outstanding—diluted</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206,800,878 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210,346,070 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share:</w:t>
            </w:r>
          </w:p>
        </w:tc>
        <w:tc>
          <w:tcPr>
            <w:tcW w:w="13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available to common stockholders—basic</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available to common stockholders—diluted</w:t>
            </w:r>
          </w:p>
        </w:tc>
        <w:tc>
          <w:tcPr>
            <w:tcW w:w="26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3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3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common OP units held by the noncontrolling interest holders have been excluded from the denominator of the basic and diluted EPS calculation as there would be no effect on the amounts since the common OP units' share of income or loss would also be added or subtracted to derive net income available to common stockholders.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10. Segment Reporting</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0"/>
        </w:rPr>
        <w:t>We have one reportable segment, which is hotel ownership. The hotel ownership segment is mostly comprised of upper upscale and luxury chain scale hotels that offer hotel rooms, food and beverage and other ancillary guest services. The Company’s chief operating decision maker (“CODM”) is the Executive Committee which includes: 1) the Chief Executive Officer, 2) the President and Chief Operating Officer, 3) the Executive Vice President, Chief Financial Officer &amp; Treasurer, and 4) the Senior Vice President, General Counsel &amp; Corporate Secretary.</w:t>
      </w:r>
    </w:p>
    <w:p>
      <w:pPr>
        <w:pStyle w:val="TextBody"/>
        <w:bidi w:val="0"/>
        <w:spacing w:before="0" w:after="0"/>
        <w:ind w:left="0" w:right="0" w:firstLine="45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CODM evaluates the hotel ownership segment primarily based on hotel adjusted earnings (loss) before interest income and expense, taxes and depreciation and amortization (“Hotel Adjusted EBITDA”). The CODM uses Hotel Adjusted EBITDA to evaluate the ongoing operational performance of our hotels and effectiveness of the third-party management companies operating our business on a property-level basis, in order to make informed decisions on how to allocate resources. Hotel Adjusted EBITDA is also used to monitor budget versus actual results. The monitoring of budgeted versus actual results is used in assessing performance of the segment and in establishing management’s compensation. Hotel Adjusted EBITDA, presented herein, is calculated as EBITDA from hotel operations, adjusted to exclude the following items that are not reflective of our ongoing operating performance or incurred in the normal course of business, and thus excluded from the CODM’s analysis in making day-to-day operating decisions: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color w:val="000000"/>
        </w:rPr>
        <w:t>▪</w:t>
      </w:r>
      <w:r>
        <w:rPr>
          <w:rFonts w:ascii="Times New Roman;serif" w:hAnsi="Times New Roman;serif"/>
          <w:b w:val="false"/>
          <w:color w:val="000000"/>
          <w:sz w:val="20"/>
        </w:rPr>
        <w:t>Non-cash lease expense and other amortization</w:t>
      </w:r>
    </w:p>
    <w:p>
      <w:pPr>
        <w:pStyle w:val="TextBody"/>
        <w:bidi w:val="0"/>
        <w:spacing w:lineRule="auto" w:line="288" w:before="0" w:after="0"/>
        <w:ind w:left="0" w:right="0" w:firstLine="450"/>
        <w:jc w:val="both"/>
        <w:rPr/>
      </w:pPr>
      <w:r>
        <w:rPr>
          <w:color w:val="000000"/>
        </w:rPr>
        <w:t>▪</w:t>
      </w:r>
      <w:r>
        <w:rPr>
          <w:rFonts w:ascii="Times New Roman;serif" w:hAnsi="Times New Roman;serif"/>
          <w:b w:val="false"/>
          <w:color w:val="000000"/>
          <w:sz w:val="20"/>
        </w:rPr>
        <w:t>Cumulative effect of a change in accounting principles</w:t>
      </w:r>
    </w:p>
    <w:p>
      <w:pPr>
        <w:pStyle w:val="TextBody"/>
        <w:bidi w:val="0"/>
        <w:spacing w:lineRule="auto" w:line="288" w:before="0" w:after="0"/>
        <w:ind w:left="0" w:right="0" w:firstLine="450"/>
        <w:jc w:val="both"/>
        <w:rPr/>
      </w:pPr>
      <w:r>
        <w:rPr>
          <w:color w:val="000000"/>
        </w:rPr>
        <w:t>▪</w:t>
      </w:r>
      <w:r>
        <w:rPr>
          <w:rFonts w:ascii="Times New Roman;serif" w:hAnsi="Times New Roman;serif"/>
          <w:b w:val="false"/>
          <w:color w:val="000000"/>
          <w:sz w:val="20"/>
        </w:rPr>
        <w:t>Gains or losses from debt extinguishment</w:t>
      </w:r>
    </w:p>
    <w:p>
      <w:pPr>
        <w:pStyle w:val="TextBody"/>
        <w:bidi w:val="0"/>
        <w:spacing w:lineRule="auto" w:line="288" w:before="0" w:after="0"/>
        <w:ind w:left="0" w:right="0" w:firstLine="450"/>
        <w:jc w:val="both"/>
        <w:rPr/>
      </w:pPr>
      <w:r>
        <w:rPr>
          <w:color w:val="000000"/>
        </w:rPr>
        <w:t>▪</w:t>
      </w:r>
      <w:r>
        <w:rPr>
          <w:rFonts w:ascii="Times New Roman;serif" w:hAnsi="Times New Roman;serif"/>
          <w:b w:val="false"/>
          <w:color w:val="000000"/>
          <w:sz w:val="20"/>
        </w:rPr>
        <w:t>Hotel acquisition costs</w:t>
      </w:r>
    </w:p>
    <w:p>
      <w:pPr>
        <w:pStyle w:val="TextBody"/>
        <w:bidi w:val="0"/>
        <w:spacing w:lineRule="auto" w:line="288" w:before="0" w:after="0"/>
        <w:ind w:left="0" w:right="0" w:firstLine="450"/>
        <w:jc w:val="both"/>
        <w:rPr/>
      </w:pPr>
      <w:r>
        <w:rPr>
          <w:color w:val="000000"/>
        </w:rPr>
        <w:t>▪</w:t>
      </w:r>
      <w:r>
        <w:rPr>
          <w:rFonts w:ascii="Times New Roman;serif" w:hAnsi="Times New Roman;serif"/>
          <w:b w:val="false"/>
          <w:color w:val="000000"/>
          <w:sz w:val="20"/>
        </w:rPr>
        <w:t>Severance costs</w:t>
      </w:r>
    </w:p>
    <w:p>
      <w:pPr>
        <w:pStyle w:val="TextBody"/>
        <w:bidi w:val="0"/>
        <w:spacing w:lineRule="auto" w:line="288" w:before="0" w:after="0"/>
        <w:ind w:left="0" w:right="0" w:firstLine="450"/>
        <w:jc w:val="both"/>
        <w:rPr/>
      </w:pPr>
      <w:r>
        <w:rPr>
          <w:color w:val="000000"/>
        </w:rPr>
        <w:t>▪</w:t>
      </w:r>
      <w:r>
        <w:rPr>
          <w:rFonts w:ascii="Times New Roman;serif" w:hAnsi="Times New Roman;serif"/>
          <w:b w:val="false"/>
          <w:color w:val="000000"/>
          <w:sz w:val="20"/>
        </w:rPr>
        <w:t xml:space="preserve">Hotel manager transition items </w:t>
      </w:r>
    </w:p>
    <w:p>
      <w:pPr>
        <w:pStyle w:val="TextBody"/>
        <w:bidi w:val="0"/>
        <w:spacing w:lineRule="auto" w:line="288" w:before="0" w:after="0"/>
        <w:ind w:left="0" w:right="0" w:firstLine="450"/>
        <w:jc w:val="both"/>
        <w:rPr/>
      </w:pPr>
      <w:r>
        <w:rPr>
          <w:color w:val="000000"/>
        </w:rPr>
        <w:t>▪</w:t>
      </w:r>
      <w:r>
        <w:rPr>
          <w:rFonts w:ascii="Times New Roman;serif" w:hAnsi="Times New Roman;serif"/>
          <w:b w:val="false"/>
          <w:color w:val="000000"/>
          <w:sz w:val="20"/>
        </w:rPr>
        <w:t>Hotel pre-opening costs</w:t>
      </w:r>
    </w:p>
    <w:p>
      <w:pPr>
        <w:pStyle w:val="TextBody"/>
        <w:bidi w:val="0"/>
        <w:spacing w:lineRule="auto" w:line="288" w:before="0" w:after="0"/>
        <w:ind w:left="0" w:right="0" w:firstLine="450"/>
        <w:jc w:val="both"/>
        <w:rPr/>
      </w:pPr>
      <w:r>
        <w:rPr>
          <w:color w:val="000000"/>
        </w:rPr>
        <w:t>▪</w:t>
      </w:r>
      <w:r>
        <w:rPr>
          <w:rFonts w:ascii="Times New Roman;serif" w:hAnsi="Times New Roman;serif"/>
          <w:b w:val="false"/>
          <w:color w:val="000000"/>
          <w:sz w:val="20"/>
        </w:rPr>
        <w:t>Impairment losses, gains or losses on asset sales and casualty gains or losses; and</w:t>
      </w:r>
    </w:p>
    <w:p>
      <w:pPr>
        <w:pStyle w:val="TextBody"/>
        <w:bidi w:val="0"/>
        <w:spacing w:lineRule="auto" w:line="288" w:before="0" w:after="0"/>
        <w:ind w:left="0" w:right="0" w:firstLine="450"/>
        <w:jc w:val="both"/>
        <w:rPr/>
      </w:pPr>
      <w:r>
        <w:rPr>
          <w:color w:val="000000"/>
        </w:rPr>
        <w:t>▪</w:t>
      </w:r>
      <w:r>
        <w:rPr>
          <w:rFonts w:ascii="Times New Roman;serif" w:hAnsi="Times New Roman;serif"/>
          <w:b w:val="false"/>
          <w:color w:val="000000"/>
          <w:sz w:val="20"/>
        </w:rPr>
        <w:t>Other items that we believe are not representative of our current or future operating performance.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revenues for our hotel ownership segment reconciled to our consolidated amounts and Hotel Adjusted EBITDA reconciled to consolidated net income (in thousands):</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1b516d80a41493185453891bf22759d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tbl>
      <w:tblPr>
        <w:tblW w:w="7259" w:type="dxa"/>
        <w:jc w:val="left"/>
        <w:tblInd w:w="0" w:type="dxa"/>
        <w:tblLayout w:type="fixed"/>
        <w:tblCellMar>
          <w:top w:w="28" w:type="dxa"/>
          <w:left w:w="28" w:type="dxa"/>
          <w:bottom w:w="28" w:type="dxa"/>
          <w:right w:w="28" w:type="dxa"/>
        </w:tblCellMar>
      </w:tblPr>
      <w:tblGrid>
        <w:gridCol w:w="1445"/>
        <w:gridCol w:w="1268"/>
        <w:gridCol w:w="1277"/>
        <w:gridCol w:w="224"/>
        <w:gridCol w:w="880"/>
        <w:gridCol w:w="116"/>
        <w:gridCol w:w="116"/>
        <w:gridCol w:w="116"/>
        <w:gridCol w:w="116"/>
        <w:gridCol w:w="224"/>
        <w:gridCol w:w="880"/>
        <w:gridCol w:w="116"/>
        <w:gridCol w:w="109"/>
        <w:gridCol w:w="109"/>
        <w:gridCol w:w="109"/>
        <w:gridCol w:w="154"/>
      </w:tblGrid>
      <w:tr>
        <w:trPr/>
        <w:tc>
          <w:tcPr>
            <w:tcW w:w="1445"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2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Hotel ownership revenue</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258,162 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254,853 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revenue</w:t>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258,162 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254,853 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Significant expenses:</w:t>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Rooms expense</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42,323 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43,843 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beverage expense</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46,417 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departmental and support expenses</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66,188 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65,286 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fees</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Franchise fees</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taxes</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significant expenses</w:t>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184,094 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184,290 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segment expenses:</w:t>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hotel expenses</w:t>
            </w:r>
            <w:r>
              <w:rPr>
                <w:rFonts w:ascii="Times New Roman;serif" w:hAnsi="Times New Roman;serif"/>
                <w:b w:val="false"/>
                <w:color w:val="000000"/>
                <w:sz w:val="13"/>
              </w:rPr>
              <w:t>(1)</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Hotel Adjusted EBITDA:</w:t>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66,156 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61,664 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 and other amortization</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Hotel pre-opening and manager transition items</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27,892 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expenses</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net income:</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14,533 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11,915 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w:t>
      </w:r>
    </w:p>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(1)Other hotel expenses is principally comprised of cash payments for leases and property insurance. </w:t>
      </w:r>
    </w:p>
    <w:p>
      <w:pPr>
        <w:pStyle w:val="TextBody"/>
        <w:bidi w:val="0"/>
        <w:spacing w:before="60" w:after="283"/>
        <w:jc w:val="both"/>
        <w:rPr/>
      </w:pPr>
      <w:r>
        <w:rPr/>
      </w:r>
    </w:p>
    <w:p>
      <w:pPr>
        <w:pStyle w:val="TextBody"/>
        <w:bidi w:val="0"/>
        <w:spacing w:lineRule="auto" w:line="256"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total assets for our hotel ownership segment, reconciled to total consolidated assets (in thousands):</w:t>
      </w:r>
    </w:p>
    <w:p>
      <w:pPr>
        <w:pStyle w:val="TextBody"/>
        <w:bidi w:val="0"/>
        <w:spacing w:before="0" w:after="0"/>
        <w:ind w:left="0" w:right="0" w:firstLine="450"/>
        <w:jc w:val="left"/>
        <w:rPr/>
      </w:pPr>
      <w:r>
        <w:rPr/>
      </w:r>
    </w:p>
    <w:tbl>
      <w:tblPr>
        <w:tblW w:w="4991" w:type="dxa"/>
        <w:jc w:val="center"/>
        <w:tblInd w:w="0" w:type="dxa"/>
        <w:tblLayout w:type="fixed"/>
        <w:tblCellMar>
          <w:top w:w="28" w:type="dxa"/>
          <w:left w:w="28" w:type="dxa"/>
          <w:bottom w:w="28" w:type="dxa"/>
          <w:right w:w="28" w:type="dxa"/>
        </w:tblCellMar>
      </w:tblPr>
      <w:tblGrid>
        <w:gridCol w:w="527"/>
        <w:gridCol w:w="463"/>
        <w:gridCol w:w="465"/>
        <w:gridCol w:w="234"/>
        <w:gridCol w:w="1085"/>
        <w:gridCol w:w="121"/>
        <w:gridCol w:w="109"/>
        <w:gridCol w:w="109"/>
        <w:gridCol w:w="109"/>
        <w:gridCol w:w="278"/>
        <w:gridCol w:w="1288"/>
        <w:gridCol w:w="203"/>
      </w:tblGrid>
      <w:tr>
        <w:trPr/>
        <w:tc>
          <w:tcPr>
            <w:tcW w:w="52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Hotel ownership</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2,932,770 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2,908,811 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13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77,272 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94,890 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3,010,042 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3,003,701 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Total capital expenditures related to our hotel ownership segment were $18.6 million and $25.6 million for the three months ended March 31, 2026 and March 31, 2025, respectively.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11. Commitments and Contingencies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Litigation</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various claims, lawsuits and legal proceedings, including routine litigation arising in the ordinary course of business regarding the operation of our hotels and other Company matters. While it is not possible to ascertain the ultimate outcome of such matters, management believes that the aggregate amount of such liabilities, if any, in excess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1b516d80a41493185453891bf22759d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amounts covered by insurance will not have a material adverse impact on our financial condition or results of operations and comprehensive income. The outcome of claims, lawsuits and legal proceedings brought against the Company, however, is subject to significant uncertainties.</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Commitments </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 October 2024, we extended the ground lease for the Courtyard New York Manhattan/Fifth Avenue, adding an additional 36-year renewal option. Our ability to exercise the second renewal option is contingent on the Company spending no less than $7.0 million on capital improvements by the end of 2026 (the “Capital Improvement Plan”). If we satisfy the Capital Improvement Plan contingency and exercise all renewal options, the ground lease would expire in October 2121.</w:t>
      </w:r>
    </w:p>
    <w:p>
      <w:pPr>
        <w:pStyle w:val="TextBody"/>
        <w:bidi w:val="0"/>
        <w:spacing w:before="0" w:after="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1b516d80a41493185453891bf22759d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1260"/>
        <w:jc w:val="left"/>
        <w:rPr>
          <w:rFonts w:ascii="Times New Roman;serif" w:hAnsi="Times New Roman;serif"/>
          <w:b/>
          <w:color w:val="000000"/>
          <w:sz w:val="20"/>
        </w:rPr>
      </w:pPr>
      <w:r>
        <w:rPr>
          <w:rFonts w:ascii="Times New Roman;serif" w:hAnsi="Times New Roman;serif"/>
          <w:b/>
          <w:color w:val="000000"/>
          <w:sz w:val="20"/>
        </w:rPr>
        <w:t>Item 2.Management’s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This report contains certain forward-looking statements within the meaning of Section 27A of the Securities Act of 1933, as amended, and Section 21E of the Securities Exchange Act of 1934, as amended (the “Exchange Act”). The Company intends such forward-looking statements to be covered by the safe harbor provisions for forward-looking statements contained in the Private Securities Litigation Reform Act of 1995 and includes this statement for purposes of complying with these safe harbor provisions. These forward-looking statements are generally identifiable by use of the words “will,” “believe,” “expect,” “intend,” “anticipate,” “estimate,” “project” or similar expressions, whether in the negative or affirmative. Forward-looking statements are based on management’s current expectations and assumptions and are not guarantees of future performance. Factors that may cause actual results to differ materially from current expectations include, but are not limited to, the risks discussed herein and the risk factors discussed from time to time in our periodic filings with the Securities and Exchange Commission, including in Part I, Item 1A “Risk Factors” of our Annual Report on Form 10-K for the year ended December 31, 2025 as updated by our subsequent Quarterly Reports on Form 10-Q and Current Reports on Form 8-K. Accordingly, there is no assurance that the Company’s expectations will be realized. Except as otherwise required by the federal securities laws, the Company disclaims any obligations or undertaking to publicly release any updates or revisions to any forward-looking statement contained in this report to reflect events, circumstances or changes in expectations after the date of this report.</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Some of the risks and uncertainties that may cause our actual results, performance or achievements to differ materially from those expressed or implied by forward-looking statements include, among others, the following:</w:t>
      </w:r>
    </w:p>
    <w:p>
      <w:pPr>
        <w:pStyle w:val="TextBody"/>
        <w:bidi w:val="0"/>
        <w:spacing w:before="0" w:after="0"/>
        <w:ind w:left="0" w:right="0" w:firstLine="450"/>
        <w:jc w:val="both"/>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negative developments in the economy, including, but not limited to elevated interest rates and costs due to recent inflation, job loss or growth trends, an increase in unemployment, other macroeconomic effects due to global instability or conflict or a decrease in corporate earnings and investment;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increased competition in the lodging industry and from alternative lodging channels or third party internet intermediaries in the markets in which we own properties;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failure to effectively execute our long-term business strategy and successfully identify and complete acquisitions and dispositions;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risks and uncertainties affecting hotel management, operations and renovations (including, without limitation, elevated inflation, construction delays, increased construction costs, disruption in hotel operations and the risks associated with our management and franchise agreements);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risks associated with the availability and terms of financing and the use of debt to fund acquisitions and renovations or refinance existing indebtedness, including the impact of higher interest rates on the cost and/or availability of financing;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risks associated with our level of indebtedness and our ability to satisfy our obligations under our debt agreements;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risks associated with the lodging industry overall, including, without limitation, decreases in the frequency of travel and increases in operating costs;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risks and uncertainties associated with our obligations under our management agreements;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risks associated with natural disasters and other unforeseen catastrophic events;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the adverse impact of any future pandemic, epidemic or outbreak of any highly infectious disease on the U.S., regional and global economies, travel, the hospitality industry, and on our financial condition and results of operations and our hotels;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costs of compliance with government regulations, including, without limitation, the Americans with Disabilities Act;</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potential liability for uninsured losses and environmental contamination;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risks associated with security breaches through cyber-attacks or otherwise, as well as other significant disruptions of our and our hotel managers’ information technologies and systems, which support our operations and those of our hotel managers;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risks associated with our potential failure to maintain our qualification as a real estate investment trust (“REIT”) under the Internal Revenue Code of 1986, as amended (the “Code”);</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possible adverse changes in tax and environmental laws;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risks associated with our dependence on key personnel whose continued service is not guaranteed.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DiamondRock Hospitality Company is a self-managed and self-administered lodging-focused REIT that owns a portfolio of premium hotels and resorts. As of March 31, 2026, we owned a portfolio of 35 premium hotels and resorts that contain 9,595 guest rooms located in 26 different markets in the United States. The markets that we target for ownership are those that we believe align with our strategic objectives, which include those in destination markets with constrained supply trends, those that provide geographic diversity relative to our existing portfolio, and those we consider to have high demand growth potential.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1b516d80a41493185453891bf22759d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Each hotel is positioned to maximize its cash flow and value; accordingly, we choose to operate nearly 40% of our portfolio as independent hotels, with the remainder operating under a brand owned by one of the leading global lodging brand companies.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primary business is to acquire, own, renovate and asset manage premium hotel properties in the United States. All of our hotels are managed by a third party, either an independent operator or a brand operator, such as Marriott. We are an owner, as opposed to an operator, of the hotels in our portfolio. As an owner, we receive all operating profits or losses generated by our hotels after we pay fees to the hotel managers, which are based on the revenues and profitability of the hotels, and the hotel brands, in the case of franchised hotels, which are based on the revenues of the hotels.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strategy is to apply aggressive asset management, prudent financial strategy, and disciplined capital allocation to high quality lodging properties in U.S. urban and resort markets with superior growth prospects and high barriers-to-entry. Our goal is to drive long-term stockholder returns that exceed those generated by our peers by growing free cash flow per share through disciplined capital allocation, including reinvestment in our portfolio and capital recycling, while returning capital through share repurchases and dividends.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critically evaluate each of our hotels to ensure that we own a portfolio of hotels that conforms to our vision, supports our mission and corresponds with our strategy. On a regular basis, we analyze our portfolio to identify opportunities to invest capital in certain projects or market non-core assets for sale to increase our portfolio quality. We are committed to a conservative capital structure with prudent leverage. We regularly assess the availability and affordability of capital in order to maximize stockholder value and minimize enterprise risk. In addition, we are committed to following sound corporate governance practices and to being open and transparent in our communications with our stockholders.</w:t>
      </w:r>
    </w:p>
    <w:p>
      <w:pPr>
        <w:pStyle w:val="TextBody"/>
        <w:bidi w:val="0"/>
        <w:spacing w:before="0" w:after="0"/>
        <w:ind w:left="0" w:right="0" w:firstLine="450"/>
        <w:jc w:val="both"/>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Our Revenues and Expenses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revenue is primarily derived from hotel operations, including but not limited to, rooms revenue, food and beverage revenue and other operating revenue, which consists of parking, spa, resort fees, other guest services, and tenant leases.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operating costs and expenses consist of the costs to provide hotel services, including rooms expense, food and beverage expense, other departmental and support expenses, management and franchise fees, and other property-level expenses. Rooms expense includes housekeeping and front office wages and payroll taxes, room supplies, laundry services and other costs. Food and beverage expense includes the cost of food, beverages, and associated labor costs. Other departmental and support expenses include labor and other costs associated with the other operating department revenue, as well as labor and other costs associated with administrative departments, sales and marketing, information technology systems, repairs and maintenance and utility costs. Our hotels that are subject to franchise agreements are charged a royalty fee, plus additional fees for marketing, central reservation systems and other franchisor costs, in order for the hotel properties to operate under the respective brands. Franchise fees are based on a percentage of room revenue, and for certain hotels, additional franchise fees are charged for food and beverage revenue. We enter into management agreements with independent third-party management companies to operate our hotels. The management companies typically earn base and incentive management fees based on the levels of revenues and profitability of each individual hotel. Other property-level expenses include property taxes, insurance, ground lease expense, and other fixed costs.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Key Indicators of Financial Condition and Operating Performance</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use a variety of operating and other information to evaluate the financial condition and operating performance of our business. These key indicators include financial information that is prepared in accordance with U.S. Generally Accepted Accounting Principles (“U.S. GAAP”), as well as other financial information that is not prepared in accordance with U.S. GAAP. In addition, we use other information that may not be financial in nature, including statistical information and comparative data. We use this information to measure the performance of individual hotels, groups of hotels and/or our business as a whole. We periodically compare historical information to our internal budgets as well as industry-wide information. These key indicators include: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Occupancy percentage;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Average Daily Rate (“ADR”);</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Rooms Revenue per Available Room (“RevPAR”);</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Total Revenue per Available Room (“Total RevPAR”);</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1b516d80a41493185453891bf22759d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Earnings Before Interest, Income Taxes, Depreciation and Amortization (“EBITDA”), Earnings Before Interest, Income Taxes, Depreciation and Amortization for real estate (“EBITDA</w:t>
      </w:r>
      <w:r>
        <w:rPr>
          <w:rFonts w:ascii="Times New Roman;serif" w:hAnsi="Times New Roman;serif"/>
          <w:b w:val="false"/>
          <w:i/>
          <w:color w:val="000000"/>
          <w:sz w:val="20"/>
        </w:rPr>
        <w:t>re</w:t>
      </w:r>
      <w:r>
        <w:rPr>
          <w:color w:val="000000"/>
        </w:rPr>
        <w:t>”</w:t>
      </w:r>
      <w:r>
        <w:rPr>
          <w:rFonts w:ascii="Times New Roman;serif" w:hAnsi="Times New Roman;serif"/>
          <w:b w:val="false"/>
          <w:i/>
          <w:color w:val="000000"/>
          <w:sz w:val="20"/>
        </w:rPr>
        <w:t>)</w:t>
      </w:r>
      <w:r>
        <w:rPr>
          <w:rFonts w:ascii="Times New Roman;serif" w:hAnsi="Times New Roman;serif"/>
          <w:b w:val="false"/>
          <w:color w:val="000000"/>
          <w:sz w:val="20"/>
        </w:rPr>
        <w:t>, Adjusted EBITDA, and Hotel Adjusted EBITDA;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Funds From Operations (“FFO”) and Adjusted FFO.</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Occupancy, ADR, RevPAR, and Total RevPAR are commonly used measures within the hotel industry to evaluate operating performance. RevPAR, which is calculated as the product of ADR and occupancy percentage, and Total RevPAR, which is calculated as total revenues divided by room nights available, are important statistics for monitoring operating performance at the individual hotel level and across our portfolio. We evaluate individual hotel RevPAR and Total RevPAR performance on an absolute basis with comparisons to budget and prior periods, as well as on a company-wide and regional basis. Room revenue comprised approximately 64% of our total revenues for the three months ended March 31, 2026 and is dictated by demand, as measured by occupancy percentage, pricing, as measured by ADR, and our available supply of hotel rooms.</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ADR, occupancy percentage, RevPAR, and Total RevPAR performance may be impacted by macroeconomic factors such as U.S. economic conditions generally, inflation, interest rates, tariffs, regional and local employment growth, personal income and corporate earnings, office vacancy rates and business relocation decisions, airport and other business and leisure travel, increased use of lodging alternatives, new hotel construction and the pricing strategies of our competitors. In addition, our ADR, occupancy percentage, RevPAR, and Total RevPAR performance is dependent on the continued success of our hotels' global brands and our hotel operators.</w:t>
      </w:r>
    </w:p>
    <w:p>
      <w:pPr>
        <w:pStyle w:val="TextBody"/>
        <w:bidi w:val="0"/>
        <w:spacing w:before="0" w:after="0"/>
        <w:jc w:val="both"/>
        <w:rPr/>
      </w:pPr>
      <w:r>
        <w:rPr/>
      </w:r>
    </w:p>
    <w:p>
      <w:pPr>
        <w:pStyle w:val="TextBody"/>
        <w:bidi w:val="0"/>
        <w:spacing w:lineRule="auto" w:line="288" w:before="0" w:after="0"/>
        <w:ind w:left="0" w:right="0" w:firstLine="495"/>
        <w:jc w:val="both"/>
        <w:rPr/>
      </w:pPr>
      <w:r>
        <w:rPr>
          <w:rFonts w:ascii="Times New Roman;serif" w:hAnsi="Times New Roman;serif"/>
          <w:b w:val="false"/>
          <w:color w:val="000000"/>
          <w:sz w:val="20"/>
        </w:rPr>
        <w:t>We also use EBITDA, EBITDA</w:t>
      </w:r>
      <w:r>
        <w:rPr>
          <w:rFonts w:ascii="Times New Roman;serif" w:hAnsi="Times New Roman;serif"/>
          <w:b w:val="false"/>
          <w:i/>
          <w:color w:val="000000"/>
          <w:sz w:val="20"/>
        </w:rPr>
        <w:t>re</w:t>
      </w:r>
      <w:r>
        <w:rPr>
          <w:rFonts w:ascii="Times New Roman;serif" w:hAnsi="Times New Roman;serif"/>
          <w:b w:val="false"/>
          <w:color w:val="000000"/>
          <w:sz w:val="20"/>
        </w:rPr>
        <w:t>, Adjusted EBITDA, Hotel Adjusted EBITDA, FFO and Adjusted FFO as measures of the financial performance of our business. See “Non-GAAP Financial Measures” for further discussion on these financial measures.</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Outlook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outlook for the remainder of 2026 has become more uncertain as the ongoing conflict with Iran and broader instability in the Middle East have increased volatility in energy markets, contributed to renewed inflationary pressure and added uncertainty around the trajectory of interest rates. Travel demand is expected to remain relatively stable but uneven in 2026, although elevated costs and softer travel demand in certain segments and markets may temper performance. We continue to monitor the potential favorable or unfavorable impacts of these and other factors on our business, operations, financial condition, future results of operations and cash flow, which are dependent on future developments, including as a result of those risk factors discussed in our Annual Report on Form 10-K for the year ended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Hotels</w:t>
      </w:r>
    </w:p>
    <w:p>
      <w:pPr>
        <w:pStyle w:val="TextBody"/>
        <w:bidi w:val="0"/>
        <w:spacing w:before="0" w:after="0"/>
        <w:jc w:val="both"/>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set forth certain operating information for the three months ended March 31, 2026 for each of our hotels owned during the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1b516d80a41493185453891bf22759d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16"/>
        <w:gridCol w:w="339"/>
        <w:gridCol w:w="342"/>
        <w:gridCol w:w="109"/>
        <w:gridCol w:w="109"/>
        <w:gridCol w:w="109"/>
        <w:gridCol w:w="513"/>
        <w:gridCol w:w="268"/>
        <w:gridCol w:w="269"/>
        <w:gridCol w:w="109"/>
        <w:gridCol w:w="109"/>
        <w:gridCol w:w="109"/>
        <w:gridCol w:w="294"/>
        <w:gridCol w:w="263"/>
        <w:gridCol w:w="233"/>
        <w:gridCol w:w="109"/>
        <w:gridCol w:w="109"/>
        <w:gridCol w:w="109"/>
        <w:gridCol w:w="250"/>
        <w:gridCol w:w="220"/>
        <w:gridCol w:w="488"/>
        <w:gridCol w:w="109"/>
        <w:gridCol w:w="109"/>
        <w:gridCol w:w="109"/>
        <w:gridCol w:w="196"/>
        <w:gridCol w:w="646"/>
        <w:gridCol w:w="109"/>
        <w:gridCol w:w="109"/>
        <w:gridCol w:w="109"/>
        <w:gridCol w:w="109"/>
        <w:gridCol w:w="196"/>
        <w:gridCol w:w="647"/>
        <w:gridCol w:w="109"/>
        <w:gridCol w:w="109"/>
        <w:gridCol w:w="109"/>
        <w:gridCol w:w="109"/>
        <w:gridCol w:w="199"/>
        <w:gridCol w:w="658"/>
        <w:gridCol w:w="111"/>
        <w:gridCol w:w="109"/>
        <w:gridCol w:w="109"/>
        <w:gridCol w:w="109"/>
        <w:gridCol w:w="289"/>
        <w:gridCol w:w="207"/>
        <w:gridCol w:w="554"/>
      </w:tblGrid>
      <w:tr>
        <w:trPr/>
        <w:tc>
          <w:tcPr>
            <w:tcW w:w="51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Rooms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Occupancy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RevPAR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RevPAR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br/>
              <w:t>from 2025 Total RevPAR</w:t>
            </w:r>
          </w:p>
        </w:tc>
      </w:tr>
      <w:tr>
        <w:trPr/>
        <w:tc>
          <w:tcPr>
            <w:tcW w:w="11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Chicago Marriott Downtown Magnificent Mile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Chicago, Illinois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1,200 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42.3 </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148.13 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Westin Boston Seaport District</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Boston, Massachusetts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793 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76.7 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Salt Lake City Marriott Downtown at City Creek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Salt Lake City, Utah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70.3 </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Worthington Renaissance Fort Worth Hotel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Fort Worth, Texas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Westin San Diego Bayview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 Diego, 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78.0 </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Westin Fort Lauderdale Beach Resort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Fort Lauderdale, Florida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The Dagny Boston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Boston, Massachusetts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70.7 </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The Hythe Vail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Vail, Colorado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72.6 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Courtyard New York Manhattan/Midtown East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York, New York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59.7 </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Atlanta Marriott Alpharetta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Atlanta, Georgia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The Gwen Hotel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Chicago, Illinois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63.5 </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Hilton Garden Inn New York/Times Square Central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York, New York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86.4 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23.5 </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Embassy Suites by Hilton Bethesda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Bethesda, Maryland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55.8 </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Henderson Beach Resort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Destin, Florida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 Hotel Minneapolis Downtown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Minneapolis, Minnesota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41.3 </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Hotel Champlain Burlington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Burlington, Vermont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Hotel Palomar Phoenix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Phoenix, Arizona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82.4 </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Bourbon Orleans Hotel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Orleans, Louisiana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71.3 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Hotel Clio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Denver, Colorado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71.7 </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Courtyard New York Manhattan/Fifth Avenue</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York, New York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91.6 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L'Auberge de Sedona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Sedona, Arizona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72.3 </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814.72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Margaritaville Beach House Key West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Key West, Florida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92.1 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588.93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The Lodge at Sonoma Resort</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Sonoma, 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60.5 </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Courtyard Denver Downtown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Denver, Colorado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77.7 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26.8 </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The Lindy Renaissance Charleston Hotel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Charleston, South Carolina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87.9 </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Kimpton Shorebreak Huntington Beach Resort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Huntington Beach, California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78.7 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Cavallo Point, The Lodge at the Golden Gate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Sausalito, 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64.9 </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Chico Hot Springs Resort &amp; Day Spa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Pray, Montana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Havana Cabana Key West</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Key West, Florida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74.6 </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Tranquility Bay Beachfront Resort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Marathon, Florida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78.6 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Hotel Emblem San Francisco</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 Francisco, 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71.1 </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Kimpton Shorebreak Fort Lauderdale Beach Resort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Fort Lauderdale, Florida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The Landing Lake Tahoe Resort &amp; Spa</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South Lake Tahoe, 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46.4 </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Lake Austin Spa Resort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Austin, Texas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1,290.38 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Henderson Park Inn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Destin, Florida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38.8 </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TOTAL/WEIGHTED AVERAGE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9,595 </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66.8 </w:t>
            </w:r>
          </w:p>
        </w:tc>
        <w:tc>
          <w:tcPr>
            <w:tcW w:w="4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298.95 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5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All properties owned during the periods presented have been included in our results of operations during the respective periods since their date of acquisition or through their date of disposition, as applicable. The operating results are not directly comparable for the three months ended March 31, 2026 and 2025 due to the sale of The Westin Washington, D.C. City Center on February 19, 2025, hereinafter referred to as our “2025 Disposition.”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Comparison of the Three Months Ended March 31, 2026 to the Three Months Ended March 31, 2025 </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pPr>
      <w:r>
        <w:rPr>
          <w:rFonts w:ascii="Times New Roman;serif" w:hAnsi="Times New Roman;serif"/>
          <w:b w:val="false"/>
          <w:i/>
          <w:color w:val="000000"/>
          <w:sz w:val="20"/>
        </w:rPr>
        <w:t>Revenue</w:t>
      </w:r>
      <w:r>
        <w:rPr>
          <w:rFonts w:ascii="Times New Roman;serif" w:hAnsi="Times New Roman;serif"/>
          <w:b w:val="false"/>
          <w:color w:val="000000"/>
          <w:sz w:val="20"/>
        </w:rPr>
        <w:t xml:space="preserve">. Revenue consists of the following (dollars in thousands):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1b516d80a41493185453891bf22759d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tbl>
      <w:tblPr>
        <w:tblW w:w="6765" w:type="dxa"/>
        <w:jc w:val="center"/>
        <w:tblInd w:w="0" w:type="dxa"/>
        <w:tblLayout w:type="fixed"/>
        <w:tblCellMar>
          <w:top w:w="28" w:type="dxa"/>
          <w:left w:w="28" w:type="dxa"/>
          <w:bottom w:w="28" w:type="dxa"/>
          <w:right w:w="28" w:type="dxa"/>
        </w:tblCellMar>
      </w:tblPr>
      <w:tblGrid>
        <w:gridCol w:w="601"/>
        <w:gridCol w:w="529"/>
        <w:gridCol w:w="535"/>
        <w:gridCol w:w="224"/>
        <w:gridCol w:w="880"/>
        <w:gridCol w:w="116"/>
        <w:gridCol w:w="116"/>
        <w:gridCol w:w="116"/>
        <w:gridCol w:w="116"/>
        <w:gridCol w:w="224"/>
        <w:gridCol w:w="880"/>
        <w:gridCol w:w="116"/>
        <w:gridCol w:w="109"/>
        <w:gridCol w:w="109"/>
        <w:gridCol w:w="109"/>
        <w:gridCol w:w="211"/>
        <w:gridCol w:w="616"/>
        <w:gridCol w:w="109"/>
        <w:gridCol w:w="109"/>
        <w:gridCol w:w="109"/>
        <w:gridCol w:w="109"/>
        <w:gridCol w:w="203"/>
        <w:gridCol w:w="203"/>
        <w:gridCol w:w="316"/>
      </w:tblGrid>
      <w:tr>
        <w:trPr/>
        <w:tc>
          <w:tcPr>
            <w:tcW w:w="601"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Rooms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164,085 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163,118 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beverage</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67,166 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66,841 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26,911 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24,894 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258,162 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254,853 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Rooms revenues increased by $1.0 million from the three months ended March 31, 2025 to the three months ended March 31, 2026. Excluding a decrease of $2.3 million due to our 2025 Disposition, room revenues increased $3.3 million driven primarily by an increase in ADR, as well as higher occupancy at L'Auberge de Sedona following the repositioning of the hotel in the third quarter of 2025.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are key hotel operating statistics for the three months ended March 31, 2026 and 2025, which exclude operating results from our 2025 Disposition. </w:t>
      </w:r>
    </w:p>
    <w:tbl>
      <w:tblPr>
        <w:tblW w:w="5453" w:type="dxa"/>
        <w:jc w:val="center"/>
        <w:tblInd w:w="0" w:type="dxa"/>
        <w:tblLayout w:type="fixed"/>
        <w:tblCellMar>
          <w:top w:w="28" w:type="dxa"/>
          <w:left w:w="28" w:type="dxa"/>
          <w:bottom w:w="28" w:type="dxa"/>
          <w:right w:w="28" w:type="dxa"/>
        </w:tblCellMar>
      </w:tblPr>
      <w:tblGrid>
        <w:gridCol w:w="451"/>
        <w:gridCol w:w="396"/>
        <w:gridCol w:w="398"/>
        <w:gridCol w:w="215"/>
        <w:gridCol w:w="736"/>
        <w:gridCol w:w="276"/>
        <w:gridCol w:w="111"/>
        <w:gridCol w:w="111"/>
        <w:gridCol w:w="111"/>
        <w:gridCol w:w="215"/>
        <w:gridCol w:w="736"/>
        <w:gridCol w:w="276"/>
        <w:gridCol w:w="109"/>
        <w:gridCol w:w="109"/>
        <w:gridCol w:w="109"/>
        <w:gridCol w:w="240"/>
        <w:gridCol w:w="240"/>
        <w:gridCol w:w="614"/>
      </w:tblGrid>
      <w:tr>
        <w:trPr/>
        <w:tc>
          <w:tcPr>
            <w:tcW w:w="4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 %</w:t>
            </w:r>
          </w:p>
        </w:tc>
        <w:tc>
          <w:tcPr>
            <w:tcW w:w="9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ADR</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284.58 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277.36 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61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RevPAR</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190.01 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186.20 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Food and beverage revenues increased $0.3 million from the three months ended March 31, 2025 to the three months ended March 31, 2026, primarily due to growth in outlet revenues, offset by a decrease of $0.5 million due to our 2025 Disposition.</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revenues, which primarily represent spa, parking, resort fees and attrition and cancellation fees, increased by $2.0 million from the three months ended March 31, 2025 to the three months ended March 31, 2026, primarily due to an increase in resort fees and attrition and cancellation fees, offset by a decrease of $0.2 million due to our 2025 Disposition.</w:t>
      </w:r>
    </w:p>
    <w:p>
      <w:pPr>
        <w:pStyle w:val="TextBody"/>
        <w:bidi w:val="0"/>
        <w:spacing w:before="0" w:after="0"/>
        <w:ind w:left="0" w:right="0" w:firstLine="450"/>
        <w:jc w:val="both"/>
        <w:rPr/>
      </w:pPr>
      <w:r>
        <w:rPr/>
      </w:r>
    </w:p>
    <w:p>
      <w:pPr>
        <w:pStyle w:val="TextBody"/>
        <w:bidi w:val="0"/>
        <w:spacing w:lineRule="auto" w:line="288" w:before="0" w:after="0"/>
        <w:ind w:left="0" w:right="0" w:firstLine="495"/>
        <w:jc w:val="left"/>
        <w:rPr/>
      </w:pPr>
      <w:r>
        <w:rPr>
          <w:rFonts w:ascii="Times New Roman;serif" w:hAnsi="Times New Roman;serif"/>
          <w:b w:val="false"/>
          <w:i/>
          <w:color w:val="000000"/>
          <w:sz w:val="20"/>
        </w:rPr>
        <w:t>Hotel operating expenses.</w:t>
      </w:r>
      <w:r>
        <w:rPr>
          <w:color w:val="000000"/>
        </w:rPr>
        <w:t xml:space="preserve"> </w:t>
      </w:r>
      <w:r>
        <w:rPr>
          <w:rFonts w:ascii="Times New Roman;serif" w:hAnsi="Times New Roman;serif"/>
          <w:b w:val="false"/>
          <w:color w:val="000000"/>
          <w:sz w:val="20"/>
        </w:rPr>
        <w:t>Hotel operating expenses consists of the following (dollars in thousands):</w:t>
      </w:r>
    </w:p>
    <w:tbl>
      <w:tblPr>
        <w:tblW w:w="8714" w:type="dxa"/>
        <w:jc w:val="left"/>
        <w:tblInd w:w="0" w:type="dxa"/>
        <w:tblLayout w:type="fixed"/>
        <w:tblCellMar>
          <w:top w:w="28" w:type="dxa"/>
          <w:left w:w="28" w:type="dxa"/>
          <w:bottom w:w="28" w:type="dxa"/>
          <w:right w:w="28" w:type="dxa"/>
        </w:tblCellMar>
      </w:tblPr>
      <w:tblGrid>
        <w:gridCol w:w="1251"/>
        <w:gridCol w:w="1101"/>
        <w:gridCol w:w="1113"/>
        <w:gridCol w:w="224"/>
        <w:gridCol w:w="880"/>
        <w:gridCol w:w="116"/>
        <w:gridCol w:w="116"/>
        <w:gridCol w:w="116"/>
        <w:gridCol w:w="116"/>
        <w:gridCol w:w="224"/>
        <w:gridCol w:w="880"/>
        <w:gridCol w:w="116"/>
        <w:gridCol w:w="109"/>
        <w:gridCol w:w="109"/>
        <w:gridCol w:w="109"/>
        <w:gridCol w:w="211"/>
        <w:gridCol w:w="691"/>
        <w:gridCol w:w="109"/>
        <w:gridCol w:w="109"/>
        <w:gridCol w:w="109"/>
        <w:gridCol w:w="109"/>
        <w:gridCol w:w="239"/>
        <w:gridCol w:w="241"/>
        <w:gridCol w:w="316"/>
      </w:tblGrid>
      <w:tr>
        <w:trPr/>
        <w:tc>
          <w:tcPr>
            <w:tcW w:w="125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Rooms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42,323 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43,843 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beverage</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46,417 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departmental and support expenses</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66,188 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65,286 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fees</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Franchise fees</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property-level expenses</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24,899 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hotel operating expenses</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193,158 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194,511 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hotel operating expenses decreased $1.4 million from the three months ended March 31, 2025 to the three months ended March 31, 2026. A decrease of $2.7 million was attributable to our 2025 Disposition, which was partially offset by an increase of $1.3 million in the rest of our portfolio due to higher property tax assessments, as well as increases in general and administrative costs and utilities.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erif" w:hAnsi="Times New Roman;serif"/>
          <w:b w:val="false"/>
          <w:i/>
          <w:color w:val="000000"/>
          <w:sz w:val="20"/>
        </w:rPr>
        <w:t>Depreciation and amortization.</w:t>
      </w:r>
      <w:r>
        <w:rPr>
          <w:color w:val="000000"/>
        </w:rPr>
        <w:t xml:space="preserve"> </w:t>
      </w:r>
      <w:r>
        <w:rPr>
          <w:rFonts w:ascii="Times New Roman;serif" w:hAnsi="Times New Roman;serif"/>
          <w:b w:val="false"/>
          <w:color w:val="000000"/>
          <w:sz w:val="20"/>
        </w:rPr>
        <w:t>Depreciation and amortization on our hotel buildings is generally recorded over a 40-year period subsequent to acquisition. Depreciable lives of hotel furniture, fixtures and equipment are estimated as the time period between the acquisition date and the date that the hotel furniture, fixtures and equipment will be replaced. Our depreciation and amortization expense increased $0.6 million from the three months ended March 31, 2025 to the three months ended March 31, 2026, primarily due to the renovations and rebrandings that were completed in 2025 and in the first quarter of 2026.</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erif" w:hAnsi="Times New Roman;serif"/>
          <w:b w:val="false"/>
          <w:i/>
          <w:color w:val="000000"/>
          <w:sz w:val="20"/>
        </w:rPr>
        <w:t>Corporate expenses.</w:t>
      </w:r>
      <w:r>
        <w:rPr>
          <w:color w:val="000000"/>
        </w:rPr>
        <w:t xml:space="preserve"> </w:t>
      </w:r>
      <w:r>
        <w:rPr>
          <w:rFonts w:ascii="Times New Roman;serif" w:hAnsi="Times New Roman;serif"/>
          <w:b w:val="false"/>
          <w:color w:val="000000"/>
          <w:sz w:val="20"/>
        </w:rPr>
        <w:t xml:space="preserve">Corporate expenses principally consist of employee-related costs, including payroll, bonus, restricted stock and benefits. Corporate expenses also include corporate operating costs, professional fees and directors' fees.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1b516d80a41493185453891bf22759d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corporate expenses increased $0.2 million from the three months ended March 31, 2025 to the three months ended March 31, 2026, primarily due to an increase in share-based compensation.</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erif" w:hAnsi="Times New Roman;serif"/>
          <w:b w:val="false"/>
          <w:i/>
          <w:color w:val="000000"/>
          <w:sz w:val="20"/>
        </w:rPr>
        <w:t>Interest expense.</w:t>
      </w:r>
      <w:r>
        <w:rPr>
          <w:color w:val="000000"/>
        </w:rPr>
        <w:t xml:space="preserve"> </w:t>
      </w:r>
      <w:r>
        <w:rPr>
          <w:rFonts w:ascii="Times New Roman;serif" w:hAnsi="Times New Roman;serif"/>
          <w:b w:val="false"/>
          <w:color w:val="000000"/>
          <w:sz w:val="20"/>
        </w:rPr>
        <w:t xml:space="preserve">Our interest expense decreased $0.5 million from the three months ended March 31, 2025 to the three months ended March 31, 2026 and was comprised of the following (dollars in thousands): </w:t>
      </w:r>
    </w:p>
    <w:tbl>
      <w:tblPr>
        <w:tblW w:w="8383" w:type="dxa"/>
        <w:jc w:val="center"/>
        <w:tblInd w:w="0" w:type="dxa"/>
        <w:tblLayout w:type="fixed"/>
        <w:tblCellMar>
          <w:top w:w="28" w:type="dxa"/>
          <w:left w:w="28" w:type="dxa"/>
          <w:bottom w:w="28" w:type="dxa"/>
          <w:right w:w="28" w:type="dxa"/>
        </w:tblCellMar>
      </w:tblPr>
      <w:tblGrid>
        <w:gridCol w:w="1085"/>
        <w:gridCol w:w="955"/>
        <w:gridCol w:w="959"/>
        <w:gridCol w:w="244"/>
        <w:gridCol w:w="835"/>
        <w:gridCol w:w="126"/>
        <w:gridCol w:w="126"/>
        <w:gridCol w:w="126"/>
        <w:gridCol w:w="126"/>
        <w:gridCol w:w="244"/>
        <w:gridCol w:w="835"/>
        <w:gridCol w:w="126"/>
        <w:gridCol w:w="109"/>
        <w:gridCol w:w="109"/>
        <w:gridCol w:w="109"/>
        <w:gridCol w:w="211"/>
        <w:gridCol w:w="616"/>
        <w:gridCol w:w="109"/>
        <w:gridCol w:w="109"/>
        <w:gridCol w:w="109"/>
        <w:gridCol w:w="109"/>
        <w:gridCol w:w="343"/>
        <w:gridCol w:w="347"/>
        <w:gridCol w:w="316"/>
      </w:tblGrid>
      <w:tr>
        <w:trPr/>
        <w:tc>
          <w:tcPr>
            <w:tcW w:w="108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 term loan interest</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debt interest</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facility fees</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Finance lease expense</w:t>
            </w:r>
            <w:r>
              <w:rPr>
                <w:rFonts w:ascii="Times New Roman;serif" w:hAnsi="Times New Roman;serif"/>
                <w:b w:val="false"/>
                <w:color w:val="000000"/>
                <w:sz w:val="13"/>
              </w:rPr>
              <w:t>(1)</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14,690 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15,158 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68" w:before="10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w:t>
      </w:r>
    </w:p>
    <w:p>
      <w:pPr>
        <w:pStyle w:val="TextBody"/>
        <w:bidi w:val="0"/>
        <w:spacing w:lineRule="auto" w:line="26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(1)Represents the interest expense associated with the ground lease on the Courtyard New York Manhattan/Fifth Avenue.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decrease in interest expense was due to our mortgage debt repayments in 2025, which was partially offset by the amendment to our Credit Facility in July 2025, which increased our unsecured term loans by $300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short-term liquidity requirements consist primarily of funds necessary to pay debt service, operating expenses, ground lease payments, capital expenditures directly associated with our hotels, any share repurchases, and distributions to our common stockholders.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long-term liquidity requirements consist primarily of funds necessary to pay for the costs of acquiring additional hotels, renovations and other capital expenditures that need to be made periodically to our hotels, debt payments, debt maturities, ground lease payments, share repurchases, and making distributions to our common stockholders. We expect to meet our short- and long-term liquidity requirements through various sources of capital, including cash provided by operations, borrowings, issuances of additional equity, and/or debt securities and proceeds from property dispositions, and we anticipate that these sources will provide adequate capital for the next 12 months and beyond. Our ability to incur additional debt is dependent upon a number of factors, including the state of the credit markets, our degree of leverage, the value of our unencumbered assets and borrowing restrictions imposed by existing lenders. Our ability to raise capital through the issuance of additional equity and/or debt securities is also dependent on a number of factors including the current state of the capital markets, investor sentiment and our intended use of proceeds. We may need to raise additional capital if we identify acquisition opportunities that meet our investment objectives and require liquidity in excess of existing cash balances. Our ability to raise funds through the issuance of equity securities depends on, among other things, general market conditions for hotel companies and REITs and market perceptions about us.</w:t>
      </w:r>
    </w:p>
    <w:p>
      <w:pPr>
        <w:pStyle w:val="TextBody"/>
        <w:bidi w:val="0"/>
        <w:spacing w:before="0" w:after="0"/>
        <w:ind w:left="0" w:right="0" w:firstLine="450"/>
        <w:jc w:val="both"/>
        <w:rPr/>
      </w:pPr>
      <w:r>
        <w:rPr/>
      </w:r>
    </w:p>
    <w:p>
      <w:pPr>
        <w:pStyle w:val="TextBody"/>
        <w:bidi w:val="0"/>
        <w:spacing w:lineRule="auto" w:line="288" w:before="0" w:after="0"/>
        <w:ind w:left="0" w:right="0" w:firstLine="135"/>
        <w:jc w:val="both"/>
        <w:rPr>
          <w:rFonts w:ascii="Times New Roman;serif" w:hAnsi="Times New Roman;serif"/>
          <w:b/>
          <w:i/>
          <w:color w:val="000000"/>
          <w:sz w:val="20"/>
        </w:rPr>
      </w:pPr>
      <w:r>
        <w:rPr>
          <w:rFonts w:ascii="Times New Roman;serif" w:hAnsi="Times New Roman;serif"/>
          <w:b/>
          <w:i/>
          <w:color w:val="000000"/>
          <w:sz w:val="20"/>
        </w:rPr>
        <w:t>Our Financing Strategy</w:t>
      </w:r>
    </w:p>
    <w:p>
      <w:pPr>
        <w:pStyle w:val="TextBody"/>
        <w:bidi w:val="0"/>
        <w:spacing w:before="0" w:after="0"/>
        <w:ind w:left="0" w:right="0" w:firstLine="13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Since our formation in 2004, we have been committed to a conservative capital structure with prudent leverage. Our outstanding debt consists of unsecured term loans and periodic borrowings on our senior unsecured credit facility. We have a preference to maintain a significant portion of our portfolio as unencumbered in order to provide balance sheet flexibility. As of March 31, 2026, our portfolio is fully unencumbered by secured debt. We expect that our strategy will enable us to maintain a balance sheet with an appropriate amount of debt throughout all phases of the lodging cycle. We believe that it is prudent to reduce the inherent risk of highly cyclical lodging fundamentals through a low leverage capital structure.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prefer a relatively simple, but efficient capital structure. We generally structure our hotel acquisitions to be straightforward and to fit within our capital structure; however, we will consider a more complex transaction, such as the issuance of common OP units in connection with the acquisition of Cavallo Point, The Lodge at the Golden Gate, if we believe that the projected returns to our stockholders will significantly exceed the returns that would otherwise be available.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we maintain a reasonable amount of debt. As of March 31, 2026, we had $1.1 billion of debt outstanding with a weighted average interest rate of 4.96%, which includes the effect of interest rate swaps, and a weighted average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1b516d80a41493185453891bf22759d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maturity date of approximately 3.4 years, assuming all extension options available in our debt agreements are exercised. We remain committed to our core strategy of prudent leverage.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Information about our financing activities is available in Note 4 to the accompanying consolidated financial statements. </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ATM Program</w:t>
      </w:r>
    </w:p>
    <w:p>
      <w:pPr>
        <w:pStyle w:val="TextBody"/>
        <w:bidi w:val="0"/>
        <w:spacing w:before="0" w:after="0"/>
        <w:jc w:val="both"/>
        <w:rPr/>
      </w:pPr>
      <w:r>
        <w:rPr/>
      </w:r>
    </w:p>
    <w:p>
      <w:pPr>
        <w:pStyle w:val="TextBody"/>
        <w:bidi w:val="0"/>
        <w:spacing w:lineRule="auto" w:line="288" w:before="0" w:after="24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In August 2024, our board of directors approved an “at-the-market” equity offering program (the “ATM Program”), pursuant to which we may issue and sell shares of our common stock from time to time, having an aggregate offering price of up to $200.0 million. No shares were sold under the ATM Program during the three months ended March 31, 2026.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Share Repurchase Program</w:t>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board of directors has authorized the repurchase of up to $200.0 million of our common stock under a share repurchase program. The timing and actual number of shares repurchased will depend on a variety of factors, including price and general business and market conditions. The share repurchase program does not obligate us to acquire any particular amount of shares, and may be suspended or discontinued at any time at our discretion. We did not repurchase any shares of common stock during the three months ended March 31, 2026. During the three months ended March 31, 2025, we repurchased 1,413,643 shares of common stock at an average price of $7.85 per share for a total purchase price of $11.1 million under this program. Subsequent to March 31, 2026, we repurchased 136,364 shares of common stock at an average price of $9.38 per share for a total purchase price of $1.3 million under this program. On April 28, 2026, our board of directors approved a new share repurchase program, which replaced the previously authorized program. The new share repurchase program is effective May 1, 2026 and authorizes us to repurchase up to $300.0 million of common stock. The new program will expire on May 1, 2028.</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Short-Term Borrowings</w:t>
      </w:r>
    </w:p>
    <w:p>
      <w:pPr>
        <w:pStyle w:val="TextBody"/>
        <w:bidi w:val="0"/>
        <w:spacing w:before="0" w:after="0"/>
        <w:ind w:left="0" w:right="0" w:firstLine="13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currently do not utilize short-term borrowings to meet liquidity requirements.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Senior Unsecured Credit Facility and Unsecured Term Loans</w:t>
      </w:r>
    </w:p>
    <w:p>
      <w:pPr>
        <w:pStyle w:val="TextBody"/>
        <w:bidi w:val="0"/>
        <w:spacing w:before="0" w:after="0"/>
        <w:ind w:left="0" w:right="0" w:firstLine="450"/>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are party to a Seventh Amended and Restated Credit Agreement (the “Credit Facility”) that provides for a $400.0 million revolving credit facility (the “Revolving Credit Facility”) and three term loan facilities in the aggregate amount of $1.1 billion. The Revolving Credit Facility matures on January 22, 2030. The term loan facilities consist of a $500.0 million term loan that matures on January 3, 2028 (the “Term 1 Loan”), a $300.0 million term loan that matures January 22, 2030 (the “Term 2 Loan”) and a $300.0 million term loan that matures on January 22, 2029 (the “Term 3 Loan”). The maturity date of the Revolving Credit Facility, Term 1 Loan and Term 3 Loan may be extended for two additional six-month periods upon the payment of applicable fees and satisfaction of certain standard conditions. We have the right to increase the aggregate capacity of the Amended Credit Facility to $1.8 billion upon the satisfaction of certain standard conditions. As of March 31, 2026, we had $400.0 million of borrowing capacity under the Revolving Credit Facility.</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 information about the credit facilities, including a summary of significant covenants, can be found in Note 4 to the accompanying consolidated financial statements. </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Sources and Uses of Cash</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March 31, 2026, we had $39.3 million of unrestricted cash, $37.0 million of restricted cash and no outstanding borrowings on our revolving credit facility.</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net cash provided by operations was $21.9 million for the three months ended March 31, 2026. Our cash from operations generally consists of the net cash flow from hotel operations, offset by cash paid for corporate expenses, interest payments, and other working capital changes.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net cash used in investing activities was $20.8 million for the three months ended March 31, 2026, which consisted of capital expenditures.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net cash used in financing activities was $28.0 million for the three months ended March 31, 2026, which consisted of $25.2 million of distributions paid to holders of common stock and $2.8 million paid to repurchase shares upon the vesting of restricted stock for the payment of tax withholdings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1b516d80a41493185453891bf22759d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currently anticipate our significant sources of cash for the year ending December 31, 2026 will be net cash flow from hotel operations and potential dispositions. We expect our estimated uses of cash for the year ending December 31, 2026 will be debt service payments, potential acquisitions of hotel properties, capital expenditures, distributions to common stockholders, share repurchases, and corporate expenses.</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Dividend Policy</w:t>
      </w:r>
    </w:p>
    <w:p>
      <w:pPr>
        <w:pStyle w:val="TextBody"/>
        <w:bidi w:val="0"/>
        <w:spacing w:before="0" w:after="0"/>
        <w:jc w:val="both"/>
        <w:rPr/>
      </w:pPr>
      <w:r>
        <w:rPr/>
      </w:r>
    </w:p>
    <w:p>
      <w:pPr>
        <w:pStyle w:val="TextBody"/>
        <w:bidi w:val="0"/>
        <w:spacing w:lineRule="auto" w:line="276" w:before="0" w:after="0"/>
        <w:ind w:left="0" w:right="0" w:firstLine="450"/>
        <w:jc w:val="both"/>
        <w:rPr/>
      </w:pPr>
      <w:r>
        <w:rPr>
          <w:rFonts w:ascii="Times New Roman;serif" w:hAnsi="Times New Roman;serif"/>
          <w:b w:val="false"/>
          <w:color w:val="000000"/>
          <w:sz w:val="20"/>
        </w:rPr>
        <w:t>We intend to distribute to our stockholders dividends at least equal to our REIT taxable income to avoid paying corporate income tax and excise tax on our earnings (other than the earnings of our taxable REIT subsidiaries, which are all subject to tax at regular corporate rates) and to qualify for the tax benefits afforded to REITs under the Code.</w:t>
      </w:r>
      <w:r>
        <w:rPr>
          <w:color w:val="000000"/>
        </w:rPr>
        <w:t xml:space="preserve"> </w:t>
      </w:r>
      <w:r>
        <w:rPr>
          <w:rFonts w:ascii="Times New Roman;serif" w:hAnsi="Times New Roman;serif"/>
          <w:b w:val="false"/>
          <w:color w:val="000000"/>
          <w:sz w:val="20"/>
        </w:rPr>
        <w:t>In order to maintain our qualification as a REIT, we are required to distribute to our stockholders each year at least: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90% of our REIT taxable income, determined before the deduction for dividends paid and excluding any net capital gain (which does not necessarily equal net income as calculated in accordance with U.S. GAAP); plus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90% of the excess of our net income from foreclosure property over the tax imposed on such income by the Code; less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any excess non-cash income (as determined under the Code).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timing and frequency of distributions will be authorized by our board of directors and declared by us based upon a variety of factors, including our financial performance, restrictions under applicable law and our current and future loan agreements, our debt service requirements, our capital expenditure requirements, the requirements for qualification as a REIT under the Code and other factors that our board of directors may deem relevant from time to time. Information about our distributions declared and paid can be found in Note 7 to the accompanying consolidated financial statements.</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2026, we have paid the following dividends to holders of our common stock:</w:t>
      </w:r>
    </w:p>
    <w:p>
      <w:pPr>
        <w:pStyle w:val="TextBody"/>
        <w:bidi w:val="0"/>
        <w:spacing w:before="0" w:after="0"/>
        <w:ind w:left="0" w:right="0" w:firstLine="450"/>
        <w:jc w:val="both"/>
        <w:rPr/>
      </w:pPr>
      <w:r>
        <w:rPr/>
      </w:r>
    </w:p>
    <w:tbl>
      <w:tblPr>
        <w:tblW w:w="5243" w:type="dxa"/>
        <w:jc w:val="center"/>
        <w:tblInd w:w="0" w:type="dxa"/>
        <w:tblLayout w:type="fixed"/>
        <w:tblCellMar>
          <w:top w:w="28" w:type="dxa"/>
          <w:left w:w="28" w:type="dxa"/>
          <w:bottom w:w="28" w:type="dxa"/>
          <w:right w:w="28" w:type="dxa"/>
        </w:tblCellMar>
      </w:tblPr>
      <w:tblGrid>
        <w:gridCol w:w="548"/>
        <w:gridCol w:w="482"/>
        <w:gridCol w:w="485"/>
        <w:gridCol w:w="109"/>
        <w:gridCol w:w="109"/>
        <w:gridCol w:w="109"/>
        <w:gridCol w:w="559"/>
        <w:gridCol w:w="559"/>
        <w:gridCol w:w="562"/>
        <w:gridCol w:w="109"/>
        <w:gridCol w:w="109"/>
        <w:gridCol w:w="109"/>
        <w:gridCol w:w="335"/>
        <w:gridCol w:w="813"/>
        <w:gridCol w:w="246"/>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Dividend </w:t>
              <w:br/>
              <w:t>per Share/Unit</w:t>
            </w:r>
          </w:p>
        </w:tc>
      </w:tr>
      <w:tr>
        <w:trPr/>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14,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14,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Capital Expenditures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management and franchise agreements for each of our hotels provide for the establishment of separate property improvement reserves to cover, among other things, the cost of replacing and repairing furniture, fixtures and equipment at our hotels and other routine capital expenditures. Contributions to the property improvement fund are calculated as a percentage of hotel revenues. In addition, we may be required to pay for the cost of certain additional improvements that are not permitted to be funded from the property improvement fund under the applicable management or franchise agreement. As of March 31, 2026, we have set aside $37.0 million for capital projects in property improvement reserves, which are included in restricted cash on our consolidated balance sheets.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invested approximately $20.8 million on capital expenditures during the three months ended March 31, 2026. In 2026, we expect to spend between $80.0 to $90.0 million on capital expenditures. Significant projects currently planned or completed in 2026 include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i/>
          <w:color w:val="000000"/>
          <w:sz w:val="20"/>
        </w:rPr>
        <w:t>Courtyard New York Manhattan/Midtown East:</w:t>
      </w:r>
      <w:r>
        <w:rPr>
          <w:color w:val="000000"/>
        </w:rPr>
        <w:t xml:space="preserve"> </w:t>
      </w:r>
      <w:r>
        <w:rPr>
          <w:rFonts w:ascii="Times New Roman;serif" w:hAnsi="Times New Roman;serif"/>
          <w:b w:val="false"/>
          <w:color w:val="000000"/>
          <w:sz w:val="20"/>
        </w:rPr>
        <w:t>We completed a renovation of the hotel's guestrooms during first quarter of 2026.</w:t>
      </w:r>
    </w:p>
    <w:p>
      <w:pPr>
        <w:pStyle w:val="TextBody"/>
        <w:bidi w:val="0"/>
        <w:spacing w:lineRule="auto" w:line="288" w:before="0" w:after="0"/>
        <w:ind w:left="0" w:right="0" w:hanging="360"/>
        <w:jc w:val="left"/>
        <w:rPr/>
      </w:pPr>
      <w:r>
        <w:rPr>
          <w:color w:val="000000"/>
        </w:rPr>
        <w:t>•</w:t>
      </w:r>
      <w:r>
        <w:rPr>
          <w:rFonts w:ascii="Times New Roman;serif" w:hAnsi="Times New Roman;serif"/>
          <w:b/>
          <w:i/>
          <w:color w:val="000000"/>
          <w:sz w:val="20"/>
        </w:rPr>
        <w:t xml:space="preserve">Henderson Park Inn: </w:t>
      </w:r>
      <w:r>
        <w:rPr>
          <w:rFonts w:ascii="Times New Roman;serif" w:hAnsi="Times New Roman;serif"/>
          <w:b w:val="false"/>
          <w:color w:val="000000"/>
          <w:sz w:val="20"/>
        </w:rPr>
        <w:t>We completed a renovation of the hotel's guestrooms and bathrooms during the first quarter of 2026.</w:t>
      </w:r>
    </w:p>
    <w:p>
      <w:pPr>
        <w:pStyle w:val="TextBody"/>
        <w:bidi w:val="0"/>
        <w:spacing w:lineRule="auto" w:line="288" w:before="0" w:after="0"/>
        <w:ind w:left="0" w:right="0" w:hanging="360"/>
        <w:jc w:val="left"/>
        <w:rPr/>
      </w:pPr>
      <w:r>
        <w:rPr>
          <w:color w:val="000000"/>
        </w:rPr>
        <w:t>•</w:t>
      </w:r>
      <w:r>
        <w:rPr>
          <w:rFonts w:ascii="Times New Roman;serif" w:hAnsi="Times New Roman;serif"/>
          <w:b/>
          <w:i/>
          <w:color w:val="000000"/>
          <w:sz w:val="20"/>
        </w:rPr>
        <w:t>Westin San Diego Bayview:</w:t>
      </w:r>
      <w:r>
        <w:rPr>
          <w:color w:val="000000"/>
        </w:rPr>
        <w:t xml:space="preserve"> </w:t>
      </w:r>
      <w:r>
        <w:rPr>
          <w:rFonts w:ascii="Times New Roman;serif" w:hAnsi="Times New Roman;serif"/>
          <w:b w:val="false"/>
          <w:color w:val="000000"/>
          <w:sz w:val="20"/>
        </w:rPr>
        <w:t>We expect to commence a renovation of the entrance and public spaces throughout the lobby, including the lobby bar in mid-2026.</w:t>
      </w:r>
    </w:p>
    <w:p>
      <w:pPr>
        <w:pStyle w:val="TextBody"/>
        <w:bidi w:val="0"/>
        <w:spacing w:lineRule="auto" w:line="288" w:before="0" w:after="0"/>
        <w:ind w:left="0" w:right="0" w:hanging="360"/>
        <w:jc w:val="left"/>
        <w:rPr/>
      </w:pPr>
      <w:r>
        <w:rPr>
          <w:color w:val="000000"/>
        </w:rPr>
        <w:t>•</w:t>
      </w:r>
      <w:r>
        <w:rPr>
          <w:rFonts w:ascii="Times New Roman;serif" w:hAnsi="Times New Roman;serif"/>
          <w:b/>
          <w:i/>
          <w:color w:val="000000"/>
          <w:sz w:val="20"/>
        </w:rPr>
        <w:t xml:space="preserve">Atlanta Marriott Alpharetta: </w:t>
      </w:r>
      <w:r>
        <w:rPr>
          <w:rFonts w:ascii="Times New Roman;serif" w:hAnsi="Times New Roman;serif"/>
          <w:b w:val="false"/>
          <w:color w:val="000000"/>
          <w:sz w:val="20"/>
        </w:rPr>
        <w:t>We expect to commence a renovation of the hotel's guestrooms during the fourth quarter of 2026.</w:t>
      </w:r>
    </w:p>
    <w:p>
      <w:pPr>
        <w:pStyle w:val="TextBody"/>
        <w:bidi w:val="0"/>
        <w:spacing w:lineRule="auto" w:line="288" w:before="0" w:after="0"/>
        <w:ind w:left="0" w:right="0" w:hanging="360"/>
        <w:jc w:val="left"/>
        <w:rPr/>
      </w:pPr>
      <w:r>
        <w:rPr>
          <w:color w:val="000000"/>
        </w:rPr>
        <w:t>•</w:t>
      </w:r>
      <w:r>
        <w:rPr>
          <w:rFonts w:ascii="Times New Roman;serif" w:hAnsi="Times New Roman;serif"/>
          <w:b/>
          <w:i/>
          <w:color w:val="000000"/>
          <w:sz w:val="20"/>
        </w:rPr>
        <w:t xml:space="preserve">Kimpton Shorebreak Huntington Beach Resort: </w:t>
      </w:r>
      <w:r>
        <w:rPr>
          <w:rFonts w:ascii="Times New Roman;serif" w:hAnsi="Times New Roman;serif"/>
          <w:b w:val="false"/>
          <w:color w:val="000000"/>
          <w:sz w:val="20"/>
        </w:rPr>
        <w:t>We expect to commence a renovation of the hotel's guestrooms during the fourth quarter of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1b516d80a41493185453891bf22759d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Non-GAAP Financial Measures </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We use the following non-GAAP financial measures that we believe are useful to investors as key measures of our operating performance: EBITDA, EBITDA</w:t>
      </w:r>
      <w:r>
        <w:rPr>
          <w:rFonts w:ascii="Times New Roman;serif" w:hAnsi="Times New Roman;serif"/>
          <w:b w:val="false"/>
          <w:i/>
          <w:color w:val="000000"/>
          <w:sz w:val="20"/>
        </w:rPr>
        <w:t>re</w:t>
      </w:r>
      <w:r>
        <w:rPr>
          <w:rFonts w:ascii="Times New Roman;serif" w:hAnsi="Times New Roman;serif"/>
          <w:b w:val="false"/>
          <w:color w:val="000000"/>
          <w:sz w:val="20"/>
        </w:rPr>
        <w:t>, Adjusted EBITDA, Hotel Adjusted EBITDA, FFO and Adjusted FFO. These measures should not be considered in isolation or as a substitute for measures of performance in accordance with U.S. GAAP. EBITDA, EBITDA</w:t>
      </w:r>
      <w:r>
        <w:rPr>
          <w:rFonts w:ascii="Times New Roman;serif" w:hAnsi="Times New Roman;serif"/>
          <w:b w:val="false"/>
          <w:i/>
          <w:color w:val="000000"/>
          <w:sz w:val="20"/>
        </w:rPr>
        <w:t>re</w:t>
      </w:r>
      <w:r>
        <w:rPr>
          <w:rFonts w:ascii="Times New Roman;serif" w:hAnsi="Times New Roman;serif"/>
          <w:b w:val="false"/>
          <w:color w:val="000000"/>
          <w:sz w:val="20"/>
        </w:rPr>
        <w:t>, Adjusted EBITDA, Hotel Adjusted EBITDA, FFO and Adjusted FFO, as calculated by us, may not be comparable to other companies that do not define such terms exactly as the Company.</w:t>
      </w:r>
    </w:p>
    <w:p>
      <w:pPr>
        <w:pStyle w:val="TextBody"/>
        <w:bidi w:val="0"/>
        <w:spacing w:before="0" w:after="0"/>
        <w:ind w:left="0" w:right="0" w:firstLine="495"/>
        <w:jc w:val="both"/>
        <w:rPr/>
      </w:pPr>
      <w:r>
        <w:rPr/>
      </w:r>
    </w:p>
    <w:p>
      <w:pPr>
        <w:pStyle w:val="TextBody"/>
        <w:bidi w:val="0"/>
        <w:spacing w:lineRule="auto" w:line="288" w:before="0" w:after="0"/>
        <w:ind w:left="0" w:right="0" w:firstLine="135"/>
        <w:jc w:val="both"/>
        <w:rPr>
          <w:rFonts w:ascii="Times New Roman;serif" w:hAnsi="Times New Roman;serif"/>
          <w:b/>
          <w:i/>
          <w:color w:val="000000"/>
          <w:sz w:val="20"/>
        </w:rPr>
      </w:pPr>
      <w:r>
        <w:rPr>
          <w:rFonts w:ascii="Times New Roman;serif" w:hAnsi="Times New Roman;serif"/>
          <w:b/>
          <w:i/>
          <w:color w:val="000000"/>
          <w:sz w:val="20"/>
        </w:rPr>
        <w:t>Use and Limitations of Non-GAAP Financial Measures</w:t>
      </w:r>
    </w:p>
    <w:p>
      <w:pPr>
        <w:pStyle w:val="TextBody"/>
        <w:bidi w:val="0"/>
        <w:spacing w:before="0" w:after="0"/>
        <w:ind w:left="0" w:right="0" w:firstLine="495"/>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Our management and Board of Directors use EBITDA, EBITDA</w:t>
      </w:r>
      <w:r>
        <w:rPr>
          <w:rFonts w:ascii="Times New Roman;serif" w:hAnsi="Times New Roman;serif"/>
          <w:b w:val="false"/>
          <w:i/>
          <w:color w:val="000000"/>
          <w:sz w:val="20"/>
        </w:rPr>
        <w:t>re</w:t>
      </w:r>
      <w:r>
        <w:rPr>
          <w:rFonts w:ascii="Times New Roman;serif" w:hAnsi="Times New Roman;serif"/>
          <w:b w:val="false"/>
          <w:color w:val="000000"/>
          <w:sz w:val="20"/>
        </w:rPr>
        <w:t>, Adjusted EBITDA, Hotel Adjusted EBITDA, FFO and Adjusted FFO to evaluate the performance of our hotels and to facilitate comparisons between us and other lodging REITs, hotel owners who are not REITs and other capital intensive companies. The use of these non-GAAP financial measures has certain limitations. These non-GAAP financial measures as presented by us, may not be comparable to non-GAAP financial measures as calculated by other real estate companies. These measures do not reflect certain expenses or expenditures that we incurred and will incur, such as depreciation, interest and capital expenditures. We compensate for these limitations by separately considering the impact of these excluded items to the extent they are material to operating decisions or assessments of our operating performance. Our reconciliations to the most comparable U.S. GAAP financial measures, and our consolidated statements of operations and comprehensive income and consolidated statements of cash flows, include interest expense, capital expenditures, and other excluded items, all of which should be considered when evaluating our performance, as well as the usefulness of our non-GAAP financial measures.</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non-GAAP financial measures are used in addition to and in conjunction with results presented in accordance with U.S. GAAP. They should not be considered as alternatives to operating profit, cash flow from operations, or any other operating performance measure prescribed by U.S. GAAP. These non-GAAP financial measures reflect additional ways of viewing our operations that we believe, when viewed with our U.S. GAAP results and the reconciliations to the corresponding U.S. GAAP financial measures, provide a more complete understanding of factors and trends affecting our business than could be obtained absent this disclosure. We strongly encourage investors to review our financial information in its entirety and not to rely on a single financial measure.</w:t>
      </w:r>
    </w:p>
    <w:p>
      <w:pPr>
        <w:pStyle w:val="TextBody"/>
        <w:bidi w:val="0"/>
        <w:spacing w:before="0" w:after="0"/>
        <w:ind w:left="0" w:right="0" w:firstLine="720"/>
        <w:jc w:val="both"/>
        <w:rPr/>
      </w:pPr>
      <w:r>
        <w:rPr/>
      </w:r>
    </w:p>
    <w:p>
      <w:pPr>
        <w:pStyle w:val="TextBody"/>
        <w:bidi w:val="0"/>
        <w:spacing w:lineRule="auto" w:line="288" w:before="0" w:after="0"/>
        <w:ind w:left="0" w:right="0" w:firstLine="135"/>
        <w:jc w:val="both"/>
        <w:rPr/>
      </w:pPr>
      <w:r>
        <w:rPr>
          <w:rFonts w:ascii="Times New Roman;serif" w:hAnsi="Times New Roman;serif"/>
          <w:b/>
          <w:i/>
          <w:color w:val="000000"/>
          <w:sz w:val="20"/>
        </w:rPr>
        <w:t>EBITDA and EBITDA</w:t>
      </w:r>
      <w:r>
        <w:rPr>
          <w:rFonts w:ascii="Times New Roman;serif" w:hAnsi="Times New Roman;serif"/>
          <w:b/>
          <w:color w:val="000000"/>
          <w:sz w:val="20"/>
        </w:rPr>
        <w:t>re</w:t>
      </w:r>
    </w:p>
    <w:p>
      <w:pPr>
        <w:pStyle w:val="TextBody"/>
        <w:bidi w:val="0"/>
        <w:spacing w:before="0" w:after="0"/>
        <w:ind w:left="0" w:right="0" w:firstLine="135"/>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EBITDA represents net income (calculated in accordance with U.S. GAAP) excluding: (1) interest expense; (2) provision for income taxes, including income taxes applicable to sale of assets; and (3) depreciation and amortization. The Company computes EBITDA</w:t>
      </w:r>
      <w:r>
        <w:rPr>
          <w:rFonts w:ascii="Times New Roman;serif" w:hAnsi="Times New Roman;serif"/>
          <w:b w:val="false"/>
          <w:i/>
          <w:color w:val="000000"/>
          <w:sz w:val="20"/>
        </w:rPr>
        <w:t>re</w:t>
      </w:r>
      <w:r>
        <w:rPr>
          <w:color w:val="000000"/>
        </w:rPr>
        <w:t xml:space="preserve"> </w:t>
      </w:r>
      <w:r>
        <w:rPr>
          <w:rFonts w:ascii="Times New Roman;serif" w:hAnsi="Times New Roman;serif"/>
          <w:b w:val="false"/>
          <w:color w:val="000000"/>
          <w:sz w:val="20"/>
        </w:rPr>
        <w:t>in accordance with the National Association of Real Estate Investment Trusts (“Nareit”) guidelines, as defined in its September 2017 white paper “Earnings Before Interest, Taxes, Depreciation and Amortization for Real Estate.” EBITDA</w:t>
      </w:r>
      <w:r>
        <w:rPr>
          <w:rFonts w:ascii="Times New Roman;serif" w:hAnsi="Times New Roman;serif"/>
          <w:b w:val="false"/>
          <w:i/>
          <w:color w:val="000000"/>
          <w:sz w:val="20"/>
        </w:rPr>
        <w:t>re</w:t>
      </w:r>
      <w:r>
        <w:rPr>
          <w:color w:val="000000"/>
        </w:rPr>
        <w:t xml:space="preserve"> </w:t>
      </w:r>
      <w:r>
        <w:rPr>
          <w:rFonts w:ascii="Times New Roman;serif" w:hAnsi="Times New Roman;serif"/>
          <w:b w:val="false"/>
          <w:color w:val="000000"/>
          <w:sz w:val="20"/>
        </w:rPr>
        <w:t>represents net income (calculated in accordance with U.S. GAAP) adjusted for: (1) interest expense; (2) provision for income taxes, including income taxes applicable to sale of assets; (3) depreciation and amortization; (4) gains or losses on the disposition of depreciated property including gains or losses on change of control; (5) impairment write-downs of depreciated property and of investments in unconsolidated affiliates caused by a decrease in value of depreciated property in the affiliate; and (6) adjustments to reflect the entity's share of EBITDA</w:t>
      </w:r>
      <w:r>
        <w:rPr>
          <w:rFonts w:ascii="Times New Roman;serif" w:hAnsi="Times New Roman;serif"/>
          <w:b w:val="false"/>
          <w:i/>
          <w:color w:val="000000"/>
          <w:sz w:val="20"/>
        </w:rPr>
        <w:t>re</w:t>
      </w:r>
      <w:r>
        <w:rPr>
          <w:color w:val="000000"/>
        </w:rPr>
        <w:t xml:space="preserve"> </w:t>
      </w:r>
      <w:r>
        <w:rPr>
          <w:rFonts w:ascii="Times New Roman;serif" w:hAnsi="Times New Roman;serif"/>
          <w:b w:val="false"/>
          <w:color w:val="000000"/>
          <w:sz w:val="20"/>
        </w:rPr>
        <w:t xml:space="preserve">of unconsolidated affiliates. </w:t>
      </w:r>
    </w:p>
    <w:p>
      <w:pPr>
        <w:pStyle w:val="TextBody"/>
        <w:bidi w:val="0"/>
        <w:spacing w:before="0" w:after="0"/>
        <w:ind w:left="0" w:right="0" w:firstLine="495"/>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We believe EBITDA and EBITDA</w:t>
      </w:r>
      <w:r>
        <w:rPr>
          <w:rFonts w:ascii="Times New Roman;serif" w:hAnsi="Times New Roman;serif"/>
          <w:b w:val="false"/>
          <w:i/>
          <w:color w:val="000000"/>
          <w:sz w:val="20"/>
        </w:rPr>
        <w:t>re</w:t>
      </w:r>
      <w:r>
        <w:rPr>
          <w:color w:val="000000"/>
        </w:rPr>
        <w:t xml:space="preserve"> </w:t>
      </w:r>
      <w:r>
        <w:rPr>
          <w:rFonts w:ascii="Times New Roman;serif" w:hAnsi="Times New Roman;serif"/>
          <w:b w:val="false"/>
          <w:color w:val="000000"/>
          <w:sz w:val="20"/>
        </w:rPr>
        <w:t>are useful to an investor in evaluating our operating performance because they help investors evaluate and compare the results of our operations from period to period by removing the impact of our capital structure (primarily interest expense) and our asset base (primarily depreciation and amortization, and in the case of EBITDA</w:t>
      </w:r>
      <w:r>
        <w:rPr>
          <w:rFonts w:ascii="Times New Roman;serif" w:hAnsi="Times New Roman;serif"/>
          <w:b w:val="false"/>
          <w:i/>
          <w:color w:val="000000"/>
          <w:sz w:val="20"/>
        </w:rPr>
        <w:t>re</w:t>
      </w:r>
      <w:r>
        <w:rPr>
          <w:rFonts w:ascii="Times New Roman;serif" w:hAnsi="Times New Roman;serif"/>
          <w:b w:val="false"/>
          <w:color w:val="000000"/>
          <w:sz w:val="20"/>
        </w:rPr>
        <w:t>, impairment and gains or losses on dispositions of depreciated property) from our operating results. In addition, covenants included in our debt agreements use EBITDA as a measure of financial compliance. We also use EBITDA and EBITDA</w:t>
      </w:r>
      <w:r>
        <w:rPr>
          <w:rFonts w:ascii="Times New Roman;serif" w:hAnsi="Times New Roman;serif"/>
          <w:b w:val="false"/>
          <w:i/>
          <w:color w:val="000000"/>
          <w:sz w:val="20"/>
        </w:rPr>
        <w:t>re</w:t>
      </w:r>
      <w:r>
        <w:rPr>
          <w:color w:val="000000"/>
        </w:rPr>
        <w:t xml:space="preserve"> </w:t>
      </w:r>
      <w:r>
        <w:rPr>
          <w:rFonts w:ascii="Times New Roman;serif" w:hAnsi="Times New Roman;serif"/>
          <w:b w:val="false"/>
          <w:color w:val="000000"/>
          <w:sz w:val="20"/>
        </w:rPr>
        <w:t>as measures in determining the value of hotel acquisitions and dispositions.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FFO</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compute FFO in accordance with standards established by Nareit, which defines FFO as net income (calculated in accordance with U.S. GAAP) excluding gains or losses from sales of properties and impairment losses, plus real estate related depreciation and amortization. We believe that the presentation of FFO provides useful information to investors regarding its operating performance because it is a measure of our operations without regard to specified non-cash items, such as real estate related depreciation and amortization and gains or losses on the sale of assets. We also use FFO as one measure in assessing our operating results.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1b516d80a41493185453891bf22759d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Adjustments to EBITDAre and FFO</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We adjust EBITDA</w:t>
      </w:r>
      <w:r>
        <w:rPr>
          <w:rFonts w:ascii="Times New Roman;serif" w:hAnsi="Times New Roman;serif"/>
          <w:b w:val="false"/>
          <w:i/>
          <w:color w:val="000000"/>
          <w:sz w:val="20"/>
        </w:rPr>
        <w:t xml:space="preserve">re </w:t>
      </w:r>
      <w:r>
        <w:rPr>
          <w:rFonts w:ascii="Times New Roman;serif" w:hAnsi="Times New Roman;serif"/>
          <w:b w:val="false"/>
          <w:color w:val="000000"/>
          <w:sz w:val="20"/>
        </w:rPr>
        <w:t>and FFO when evaluating our performance because we believe that the exclusion of certain additional items described below provides useful supplemental information to investors regarding our ongoing operating performance and that the presentation of Adjusted EBITDA and Adjusted FFO when combined with U.S. GAAP net income, EBITDA</w:t>
      </w:r>
      <w:r>
        <w:rPr>
          <w:rFonts w:ascii="Times New Roman;serif" w:hAnsi="Times New Roman;serif"/>
          <w:b w:val="false"/>
          <w:i/>
          <w:color w:val="000000"/>
          <w:sz w:val="20"/>
        </w:rPr>
        <w:t>re</w:t>
      </w:r>
      <w:r>
        <w:rPr>
          <w:color w:val="000000"/>
        </w:rPr>
        <w:t xml:space="preserve"> </w:t>
      </w:r>
      <w:r>
        <w:rPr>
          <w:rFonts w:ascii="Times New Roman;serif" w:hAnsi="Times New Roman;serif"/>
          <w:b w:val="false"/>
          <w:color w:val="000000"/>
          <w:sz w:val="20"/>
        </w:rPr>
        <w:t>and FFO, is beneficial to an investor's complete understanding of our consolidated and property-level operating performance. We adjust EBITDA</w:t>
      </w:r>
      <w:r>
        <w:rPr>
          <w:rFonts w:ascii="Times New Roman;serif" w:hAnsi="Times New Roman;serif"/>
          <w:b w:val="false"/>
          <w:i/>
          <w:color w:val="000000"/>
          <w:sz w:val="20"/>
        </w:rPr>
        <w:t xml:space="preserve">re </w:t>
      </w:r>
      <w:r>
        <w:rPr>
          <w:rFonts w:ascii="Times New Roman;serif" w:hAnsi="Times New Roman;serif"/>
          <w:b w:val="false"/>
          <w:color w:val="000000"/>
          <w:sz w:val="20"/>
        </w:rPr>
        <w:t>and FFO for the following items:</w:t>
      </w:r>
    </w:p>
    <w:p>
      <w:pPr>
        <w:pStyle w:val="TextBody"/>
        <w:bidi w:val="0"/>
        <w:spacing w:before="0" w:after="0"/>
        <w:ind w:left="0" w:right="0" w:firstLine="360"/>
        <w:jc w:val="both"/>
        <w:rPr/>
      </w:pPr>
      <w:r>
        <w:rPr/>
      </w:r>
    </w:p>
    <w:p>
      <w:pPr>
        <w:pStyle w:val="TextBody"/>
        <w:bidi w:val="0"/>
        <w:spacing w:lineRule="auto" w:line="288" w:before="0" w:after="0"/>
        <w:ind w:left="0" w:right="0" w:hanging="270"/>
        <w:jc w:val="both"/>
        <w:rPr/>
      </w:pPr>
      <w:r>
        <w:rPr>
          <w:color w:val="000000"/>
        </w:rPr>
        <w:t>•</w:t>
      </w:r>
      <w:r>
        <w:rPr>
          <w:rFonts w:ascii="Times New Roman;serif" w:hAnsi="Times New Roman;serif"/>
          <w:b w:val="false"/>
          <w:i/>
          <w:color w:val="000000"/>
          <w:sz w:val="20"/>
        </w:rPr>
        <w:t>Non-Cash Lease Expense and Other Amortization</w:t>
      </w:r>
      <w:r>
        <w:rPr>
          <w:rFonts w:ascii="Times New Roman;serif" w:hAnsi="Times New Roman;serif"/>
          <w:b w:val="false"/>
          <w:color w:val="000000"/>
          <w:sz w:val="20"/>
        </w:rPr>
        <w:t>: We exclude the non-cash expense incurred from the straight line recognition of expense from our ground leases and other contractual obligations and the non-cash amortization of our favorable and unfavorable contracts, originally recorded in conjunction with certain hotel acquisitions. We exclude these non-cash items because they do not reflect the actual cash amounts due to the respective lessors in the current period and they are of lesser significance in evaluating our actual performance for that period.</w:t>
      </w:r>
    </w:p>
    <w:p>
      <w:pPr>
        <w:pStyle w:val="TextBody"/>
        <w:bidi w:val="0"/>
        <w:spacing w:before="0" w:after="0"/>
        <w:jc w:val="both"/>
        <w:rPr/>
      </w:pPr>
      <w:r>
        <w:rPr/>
      </w:r>
    </w:p>
    <w:p>
      <w:pPr>
        <w:pStyle w:val="TextBody"/>
        <w:bidi w:val="0"/>
        <w:spacing w:lineRule="auto" w:line="288" w:before="0" w:after="0"/>
        <w:ind w:left="0" w:right="0" w:hanging="270"/>
        <w:jc w:val="both"/>
        <w:rPr/>
      </w:pPr>
      <w:r>
        <w:rPr>
          <w:color w:val="000000"/>
        </w:rPr>
        <w:t>•</w:t>
      </w:r>
      <w:r>
        <w:rPr>
          <w:rFonts w:ascii="Times New Roman;serif" w:hAnsi="Times New Roman;serif"/>
          <w:b w:val="false"/>
          <w:i/>
          <w:color w:val="000000"/>
          <w:sz w:val="20"/>
        </w:rPr>
        <w:t>Cumulative Effect of a Change in Accounting Principle</w:t>
      </w:r>
      <w:r>
        <w:rPr>
          <w:rFonts w:ascii="Times New Roman;serif" w:hAnsi="Times New Roman;serif"/>
          <w:b w:val="false"/>
          <w:color w:val="000000"/>
          <w:sz w:val="20"/>
        </w:rPr>
        <w:t>: The Financial Accounting Standards Board promulgates new accounting standards that require or permit the consolidated statement of operations and comprehensive income to reflect the cumulative effect of a change in accounting principle. We exclude the effect of these adjustments, which include the accounting impact from prior periods, because they do not reflect the Company’s actual underlying performance for the current period.</w:t>
      </w:r>
    </w:p>
    <w:p>
      <w:pPr>
        <w:pStyle w:val="TextBody"/>
        <w:bidi w:val="0"/>
        <w:spacing w:before="0" w:after="0"/>
        <w:jc w:val="both"/>
        <w:rPr/>
      </w:pPr>
      <w:r>
        <w:rPr/>
      </w:r>
    </w:p>
    <w:p>
      <w:pPr>
        <w:pStyle w:val="TextBody"/>
        <w:bidi w:val="0"/>
        <w:spacing w:lineRule="auto" w:line="288" w:before="0" w:after="0"/>
        <w:ind w:left="0" w:right="0" w:hanging="270"/>
        <w:jc w:val="both"/>
        <w:rPr/>
      </w:pPr>
      <w:r>
        <w:rPr>
          <w:color w:val="000000"/>
        </w:rPr>
        <w:t>•</w:t>
      </w:r>
      <w:r>
        <w:rPr>
          <w:rFonts w:ascii="Times New Roman;serif" w:hAnsi="Times New Roman;serif"/>
          <w:b w:val="false"/>
          <w:i/>
          <w:color w:val="000000"/>
          <w:sz w:val="20"/>
        </w:rPr>
        <w:t>Gains or Losses from Debt Extinguishment</w:t>
      </w:r>
      <w:r>
        <w:rPr>
          <w:rFonts w:ascii="Times New Roman;serif" w:hAnsi="Times New Roman;serif"/>
          <w:b w:val="false"/>
          <w:color w:val="000000"/>
          <w:sz w:val="20"/>
        </w:rPr>
        <w:t>: We exclude the effect of gains or losses recorded on the debt extinguishment because these gains or losses result from transaction activity related to the Company’s capital structure that we believe are not indicative of the ongoing operating performance of the Company or our hotels.</w:t>
      </w:r>
    </w:p>
    <w:p>
      <w:pPr>
        <w:pStyle w:val="TextBody"/>
        <w:bidi w:val="0"/>
        <w:spacing w:before="0" w:after="0"/>
        <w:jc w:val="both"/>
        <w:rPr/>
      </w:pPr>
      <w:r>
        <w:rPr/>
      </w:r>
    </w:p>
    <w:p>
      <w:pPr>
        <w:pStyle w:val="TextBody"/>
        <w:bidi w:val="0"/>
        <w:spacing w:lineRule="auto" w:line="288" w:before="0" w:after="0"/>
        <w:ind w:left="0" w:right="0" w:hanging="270"/>
        <w:jc w:val="both"/>
        <w:rPr/>
      </w:pPr>
      <w:r>
        <w:rPr>
          <w:color w:val="000000"/>
        </w:rPr>
        <w:t>•</w:t>
      </w:r>
      <w:r>
        <w:rPr>
          <w:rFonts w:ascii="Times New Roman;serif" w:hAnsi="Times New Roman;serif"/>
          <w:b w:val="false"/>
          <w:i/>
          <w:color w:val="000000"/>
          <w:sz w:val="20"/>
        </w:rPr>
        <w:t>Hotel Acquisition Costs</w:t>
      </w:r>
      <w:r>
        <w:rPr>
          <w:rFonts w:ascii="Times New Roman;serif" w:hAnsi="Times New Roman;serif"/>
          <w:b w:val="false"/>
          <w:color w:val="000000"/>
          <w:sz w:val="20"/>
        </w:rPr>
        <w:t>: We exclude hotel acquisition costs expensed during the period because we believe these transaction costs are not reflective of the ongoing performance of the Company or our hotels.</w:t>
      </w:r>
    </w:p>
    <w:p>
      <w:pPr>
        <w:pStyle w:val="TextBody"/>
        <w:bidi w:val="0"/>
        <w:spacing w:before="0" w:after="0"/>
        <w:jc w:val="both"/>
        <w:rPr/>
      </w:pPr>
      <w:r>
        <w:rPr/>
      </w:r>
    </w:p>
    <w:p>
      <w:pPr>
        <w:pStyle w:val="TextBody"/>
        <w:bidi w:val="0"/>
        <w:spacing w:lineRule="auto" w:line="288" w:before="0" w:after="0"/>
        <w:ind w:left="0" w:right="0" w:hanging="270"/>
        <w:jc w:val="both"/>
        <w:rPr/>
      </w:pPr>
      <w:r>
        <w:rPr>
          <w:color w:val="000000"/>
        </w:rPr>
        <w:t>•</w:t>
      </w:r>
      <w:r>
        <w:rPr>
          <w:rFonts w:ascii="Times New Roman;serif" w:hAnsi="Times New Roman;serif"/>
          <w:b w:val="false"/>
          <w:i/>
          <w:color w:val="000000"/>
          <w:sz w:val="20"/>
        </w:rPr>
        <w:t>Severance Costs</w:t>
      </w:r>
      <w:r>
        <w:rPr>
          <w:rFonts w:ascii="Times New Roman;serif" w:hAnsi="Times New Roman;serif"/>
          <w:b w:val="false"/>
          <w:color w:val="000000"/>
          <w:sz w:val="20"/>
        </w:rPr>
        <w:t>: We exclude corporate severance costs, or reversals thereof, incurred with the termination of corporate-level employees and severance costs incurred at our hotels related to lease terminations or structured severance programs because we believe these costs do not reflect the ongoing performance of the Company or our hotels.</w:t>
      </w:r>
    </w:p>
    <w:p>
      <w:pPr>
        <w:pStyle w:val="TextBody"/>
        <w:bidi w:val="0"/>
        <w:spacing w:before="0" w:after="0"/>
        <w:jc w:val="both"/>
        <w:rPr/>
      </w:pPr>
      <w:r>
        <w:rPr/>
      </w:r>
    </w:p>
    <w:p>
      <w:pPr>
        <w:pStyle w:val="TextBody"/>
        <w:bidi w:val="0"/>
        <w:spacing w:lineRule="auto" w:line="288" w:before="0" w:after="0"/>
        <w:ind w:left="0" w:right="0" w:hanging="270"/>
        <w:jc w:val="both"/>
        <w:rPr/>
      </w:pPr>
      <w:r>
        <w:rPr>
          <w:color w:val="000000"/>
        </w:rPr>
        <w:t>•</w:t>
      </w:r>
      <w:r>
        <w:rPr>
          <w:rFonts w:ascii="Times New Roman;serif" w:hAnsi="Times New Roman;serif"/>
          <w:b w:val="false"/>
          <w:i/>
          <w:color w:val="000000"/>
          <w:sz w:val="20"/>
        </w:rPr>
        <w:t>Hotel Manager Transition and Hotel Pre-Opening Costs</w:t>
      </w:r>
      <w:r>
        <w:rPr>
          <w:rFonts w:ascii="Times New Roman;serif" w:hAnsi="Times New Roman;serif"/>
          <w:b w:val="false"/>
          <w:color w:val="000000"/>
          <w:sz w:val="20"/>
        </w:rPr>
        <w:t>: We exclude the transition costs associated with a change in hotel manager and the pre-opening costs associated with the redevelopment or rebranding of a hotel because we believe these items do not reflect the ongoing performance of the Company or our hotels.</w:t>
      </w:r>
    </w:p>
    <w:p>
      <w:pPr>
        <w:pStyle w:val="TextBody"/>
        <w:bidi w:val="0"/>
        <w:spacing w:before="0" w:after="0"/>
        <w:ind w:left="0" w:right="0" w:firstLine="90"/>
        <w:jc w:val="both"/>
        <w:rPr/>
      </w:pPr>
      <w:r>
        <w:rPr/>
      </w:r>
    </w:p>
    <w:p>
      <w:pPr>
        <w:pStyle w:val="TextBody"/>
        <w:bidi w:val="0"/>
        <w:spacing w:lineRule="auto" w:line="288" w:before="0" w:after="0"/>
        <w:ind w:left="0" w:right="0" w:hanging="270"/>
        <w:jc w:val="both"/>
        <w:rPr/>
      </w:pPr>
      <w:r>
        <w:rPr>
          <w:color w:val="000000"/>
        </w:rPr>
        <w:t>•</w:t>
      </w:r>
      <w:r>
        <w:rPr>
          <w:rFonts w:ascii="Times New Roman;serif" w:hAnsi="Times New Roman;serif"/>
          <w:b w:val="false"/>
          <w:i/>
          <w:color w:val="000000"/>
          <w:sz w:val="20"/>
        </w:rPr>
        <w:t xml:space="preserve">Share-Based Compensation Expense: </w:t>
      </w:r>
      <w:r>
        <w:rPr>
          <w:rFonts w:ascii="Times New Roman;serif" w:hAnsi="Times New Roman;serif"/>
          <w:b w:val="false"/>
          <w:color w:val="000000"/>
          <w:sz w:val="20"/>
        </w:rPr>
        <w:t>We exclude share-based compensation expense as it is a non-cash item. This adjustment aligns with the calculation of Adjusted EBITDA for our financial covenant ratios under our credit facility, supporting consistency in our financial reporting and covenant compliance, as well as comparability with our peers.</w:t>
      </w:r>
    </w:p>
    <w:p>
      <w:pPr>
        <w:pStyle w:val="TextBody"/>
        <w:bidi w:val="0"/>
        <w:spacing w:before="0" w:after="0"/>
        <w:jc w:val="both"/>
        <w:rPr/>
      </w:pPr>
      <w:r>
        <w:rPr/>
      </w:r>
    </w:p>
    <w:p>
      <w:pPr>
        <w:pStyle w:val="TextBody"/>
        <w:bidi w:val="0"/>
        <w:spacing w:lineRule="auto" w:line="288" w:before="0" w:after="0"/>
        <w:ind w:left="0" w:right="0" w:hanging="270"/>
        <w:jc w:val="both"/>
        <w:rPr/>
      </w:pPr>
      <w:r>
        <w:rPr>
          <w:color w:val="000000"/>
        </w:rPr>
        <w:t>•</w:t>
      </w:r>
      <w:r>
        <w:rPr>
          <w:rFonts w:ascii="Times New Roman;serif" w:hAnsi="Times New Roman;serif"/>
          <w:b w:val="false"/>
          <w:i/>
          <w:color w:val="000000"/>
          <w:sz w:val="20"/>
        </w:rPr>
        <w:t>Other Items</w:t>
      </w:r>
      <w:r>
        <w:rPr>
          <w:rFonts w:ascii="Times New Roman;serif" w:hAnsi="Times New Roman;serif"/>
          <w:b w:val="false"/>
          <w:color w:val="000000"/>
          <w:sz w:val="20"/>
        </w:rPr>
        <w:t>: From time to time we incur costs or realize gains that we consider outside the ordinary course of business and that we do not believe reflect the ongoing performance of the Company or our hotels. Such items may include, but are not limited to, the following: non-cash realized gains or losses on our deferred compensation plan assets; management or franchise contract termination fees; terminated transaction costs; gains or losses from legal settlements; costs incurred related to natural disasters; and gains on property insurance claim settlements, other than income related to business interruption insurance.</w:t>
      </w:r>
    </w:p>
    <w:p>
      <w:pPr>
        <w:pStyle w:val="TextBody"/>
        <w:bidi w:val="0"/>
        <w:spacing w:before="0" w:after="0"/>
        <w:ind w:left="0" w:right="0" w:firstLine="72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to derive Adjusted FFO, we exclude any unrealized fair value adjustments to interest rate swaps and the portion of our non-cash ground lease expense recognized as interest expense. We exclude these non-cash amounts because they do not reflect the underlying performance of the Company.</w:t>
      </w:r>
    </w:p>
    <w:p>
      <w:pPr>
        <w:pStyle w:val="TextBody"/>
        <w:bidi w:val="0"/>
        <w:spacing w:before="0" w:after="0"/>
        <w:ind w:left="0" w:right="0" w:firstLine="45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Hotel Adjusted EBITDA</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Hotel Adjusted EBITDA provides our investors with a useful financial measure to evaluate our hotel operating performance, excluding the impact of our capital structure (primarily interest), our asset base (primarily depreciation and amortization), and our corporate-level expenses. With respect to Hotel Adjusted EBITDA, we believe that excluding the effect of corporate-level expenses provides a more complete understanding of the operating results over which individual hotels and third-party management companies have direct control. We believe property-level results provide investors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1b516d80a41493185453891bf22759d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supplemental information on the ongoing operational performance of our hotels and effectiveness of the third-party management companies operating our business on a property-level basis. Hotel Adjusted EBITDA margins are calculated as Hotel Adjusted EBITDA divided by total hotel revenues.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rPr>
        <w:t>The following table is a reconciliation of our U.S. GAAP net income to EBITDA, EBITDA</w:t>
      </w:r>
      <w:r>
        <w:rPr>
          <w:rFonts w:ascii="Times New Roman;serif" w:hAnsi="Times New Roman;serif"/>
          <w:b w:val="false"/>
          <w:i/>
          <w:color w:val="000000"/>
          <w:sz w:val="20"/>
        </w:rPr>
        <w:t xml:space="preserve">re, </w:t>
      </w:r>
      <w:r>
        <w:rPr>
          <w:rFonts w:ascii="Times New Roman;serif" w:hAnsi="Times New Roman;serif"/>
          <w:b w:val="false"/>
          <w:color w:val="000000"/>
          <w:sz w:val="20"/>
        </w:rPr>
        <w:t>Adjusted EBITDA and Hotel Adjusted EBITDA (in thousands):</w:t>
      </w:r>
    </w:p>
    <w:p>
      <w:pPr>
        <w:pStyle w:val="TextBody"/>
        <w:bidi w:val="0"/>
        <w:spacing w:before="0" w:after="0"/>
        <w:ind w:left="0" w:right="0" w:firstLine="450"/>
        <w:jc w:val="left"/>
        <w:rPr/>
      </w:pPr>
      <w:r>
        <w:rPr/>
      </w:r>
    </w:p>
    <w:tbl>
      <w:tblPr>
        <w:tblW w:w="7845" w:type="dxa"/>
        <w:jc w:val="center"/>
        <w:tblInd w:w="0" w:type="dxa"/>
        <w:tblLayout w:type="fixed"/>
        <w:tblCellMar>
          <w:top w:w="28" w:type="dxa"/>
          <w:left w:w="28" w:type="dxa"/>
          <w:bottom w:w="28" w:type="dxa"/>
          <w:right w:w="28" w:type="dxa"/>
        </w:tblCellMar>
      </w:tblPr>
      <w:tblGrid>
        <w:gridCol w:w="1498"/>
        <w:gridCol w:w="1314"/>
        <w:gridCol w:w="1328"/>
        <w:gridCol w:w="244"/>
        <w:gridCol w:w="835"/>
        <w:gridCol w:w="126"/>
        <w:gridCol w:w="126"/>
        <w:gridCol w:w="126"/>
        <w:gridCol w:w="126"/>
        <w:gridCol w:w="244"/>
        <w:gridCol w:w="835"/>
        <w:gridCol w:w="126"/>
        <w:gridCol w:w="109"/>
        <w:gridCol w:w="109"/>
        <w:gridCol w:w="109"/>
        <w:gridCol w:w="109"/>
        <w:gridCol w:w="109"/>
        <w:gridCol w:w="109"/>
        <w:gridCol w:w="109"/>
        <w:gridCol w:w="154"/>
      </w:tblGrid>
      <w:tr>
        <w:trPr/>
        <w:tc>
          <w:tcPr>
            <w:tcW w:w="1498"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Real estate related depreciation and amortization </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27,892 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EBITDA/EBITDA</w:t>
            </w:r>
            <w:r>
              <w:rPr>
                <w:rFonts w:ascii="Times New Roman;serif" w:hAnsi="Times New Roman;serif"/>
                <w:b/>
                <w:i/>
                <w:color w:val="000000"/>
                <w:sz w:val="20"/>
              </w:rPr>
              <w:t>re</w:t>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57,809 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54,123 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 and other amortization</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Share-based compensation expense </w:t>
            </w:r>
            <w:r>
              <w:rPr>
                <w:rFonts w:ascii="Times New Roman;serif" w:hAnsi="Times New Roman;serif"/>
                <w:b w:val="false"/>
                <w:color w:val="000000"/>
                <w:sz w:val="13"/>
              </w:rPr>
              <w:t>(1)</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Hotel pre-opening costs</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60,599 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56,110 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expenses</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and other (income) expense, net</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Hotel Adjusted EBITDA</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66,156 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61,664 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(1)For the three months ended March 31, 2026 and 2025, amounts include less than $0.1 million and $0.7 million, respectively, of non-cash income related to our deferred compensation plan.</w:t>
      </w:r>
    </w:p>
    <w:p>
      <w:pPr>
        <w:pStyle w:val="TextBody"/>
        <w:bidi w:val="0"/>
        <w:spacing w:before="0" w:after="0"/>
        <w:jc w:val="center"/>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is a reconciliation of our U.S. GAAP net income to FFO and Adjusted FFO (in thousands):</w:t>
      </w:r>
    </w:p>
    <w:tbl>
      <w:tblPr>
        <w:tblW w:w="8714" w:type="dxa"/>
        <w:jc w:val="center"/>
        <w:tblInd w:w="0" w:type="dxa"/>
        <w:tblLayout w:type="fixed"/>
        <w:tblCellMar>
          <w:top w:w="28" w:type="dxa"/>
          <w:left w:w="28" w:type="dxa"/>
          <w:bottom w:w="28" w:type="dxa"/>
          <w:right w:w="28" w:type="dxa"/>
        </w:tblCellMar>
      </w:tblPr>
      <w:tblGrid>
        <w:gridCol w:w="1807"/>
        <w:gridCol w:w="1590"/>
        <w:gridCol w:w="1612"/>
        <w:gridCol w:w="244"/>
        <w:gridCol w:w="835"/>
        <w:gridCol w:w="126"/>
        <w:gridCol w:w="126"/>
        <w:gridCol w:w="126"/>
        <w:gridCol w:w="126"/>
        <w:gridCol w:w="244"/>
        <w:gridCol w:w="835"/>
        <w:gridCol w:w="126"/>
        <w:gridCol w:w="109"/>
        <w:gridCol w:w="109"/>
        <w:gridCol w:w="109"/>
        <w:gridCol w:w="109"/>
        <w:gridCol w:w="109"/>
        <w:gridCol w:w="109"/>
        <w:gridCol w:w="109"/>
        <w:gridCol w:w="154"/>
      </w:tblGrid>
      <w:tr>
        <w:trPr/>
        <w:tc>
          <w:tcPr>
            <w:tcW w:w="1807"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Real estate related depreciation and amortization </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27,892 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FFO</w:t>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43,073 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39,807 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preferred stockholders</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FFO available to common stock and unit holders</w:t>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43,073 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37,353 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 and other amortization</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Share-based compensation expense </w:t>
            </w:r>
            <w:r>
              <w:rPr>
                <w:rFonts w:ascii="Times New Roman;serif" w:hAnsi="Times New Roman;serif"/>
                <w:b w:val="false"/>
                <w:color w:val="000000"/>
                <w:sz w:val="13"/>
              </w:rPr>
              <w:t>(1)</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Hotel pre-opening costs</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FFO available to common stock and unit holders</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46,051 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39,516 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(1)For the three months ended March 31, 2026 and 2025, amounts include less than $0.1 million and $0.7 million, respectively, of non-cash items related to our deferred compensation plan.</w:t>
      </w:r>
    </w:p>
    <w:p>
      <w:pPr>
        <w:pStyle w:val="TextBody"/>
        <w:bidi w:val="0"/>
        <w:spacing w:before="0" w:after="0"/>
        <w:ind w:left="0" w:right="0" w:firstLine="9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Critical Accounting Estimates and Policies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unaudited consolidated financial statements include the accounts of DiamondRock Hospitality Company and all consolidated subsidiaries. The preparation of financial statements in conformity with U.S. GAAP requires management to make estimates and assumptions that affect the reported amount of assets and liabilities at the date of our financial statements and the reported amounts of revenues and expenses during the reporting period. While we do not believe the reported amounts would be materially different, application of these policies involves the exercise of judgment and the use of assumptions as to future uncertainties and, as a result, actual results could differ materially from these estimates. We evaluate our estimates and judgments, including those related to the impairment of long-lived assets, on an ongoing basis. We base our estimates on experience and on various assumptions that are believed to be reasonable under the circumstances. All of our significant accounting policies, including certain critical accounting policies, are disclosed in our Annual Report on Form 10-K for the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1b516d80a41493185453891bf22759d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ended December 31, 2025. There have been no significant changes to our critical accounting policies during the reporting period since the year ended December 31, 2025.  </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Inflation</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Operators of hotels generally possess the ability to adjust room rates frequently, including on a daily basis, to reflect the effects of inflation, subject to previously contractually committed reservations. However, competitive pressures, demand elasticity, consumer spending patterns and other market factors may limit the ability of our management companies to increase room rates sufficiently to offset inflationary cost increases. Inflation, including recent increases driven in part by higher energy costs, may also affect our operating expenses and the cost of capital improvements, including, without limitation, labor, employee-related benefits, food, commodities and other materials, taxes, property and casualty insurance and utilities. Refer to “Outlook” above for additional information regarding recent macroeconomic conditions, including inflationary pressures.</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periods during which our hotels experience higher revenues vary from property to property, depending principally upon location and the customer base served. Accordingly, we expect some seasonality in our business. Volatility in our financial performance from the seasonality of the lodging industry could adversely affect our financial condition and results of operations. </w:t>
      </w:r>
    </w:p>
    <w:p>
      <w:pPr>
        <w:pStyle w:val="TextBody"/>
        <w:bidi w:val="0"/>
        <w:spacing w:before="0" w:after="0"/>
        <w:ind w:left="0" w:right="0" w:firstLine="45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1b516d80a41493185453891bf22759d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1260"/>
        <w:jc w:val="left"/>
        <w:rPr>
          <w:rFonts w:ascii="Times New Roman;serif" w:hAnsi="Times New Roman;serif"/>
          <w:b/>
          <w:color w:val="000000"/>
          <w:sz w:val="20"/>
        </w:rPr>
      </w:pPr>
      <w:r>
        <w:rPr>
          <w:rFonts w:ascii="Times New Roman;serif" w:hAnsi="Times New Roman;serif"/>
          <w:b/>
          <w:color w:val="000000"/>
          <w:sz w:val="20"/>
        </w:rPr>
        <w:t>Item 3.Quantitative and Qualitative Disclosures about Market Risk</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Market risk includes risks that arise from changes in interest rates, foreign currency exchange rates, commodity prices, equity prices and other market changes that affect market sensitive instruments. In pursuing our business strategies, the primary market risk to which we are currently exposed and to which we expect to be exposed in the future is interest rate risk. The face amount of our outstanding debt as of March 31, 2026 was $1.1 billion, all of which had a variable interest rate. Our primary sensitivity in 2026 was to changes in one-month Secured Overnight Financing Rate (“SOFR”), as the interest rates on our variable-rate indebtedness were based on this benchmark rate. We use interest rate swaps in order to maintain what we believe to be an appropriate level of exposure to interest rate variability. As of March 31, 2026, the interest rate on $325 million of our variable-rate indebtedness had been effectively fixed through the use of interest rate swaps. In October 2025, we entered into an additional interest rate swap for a notional amount of $50 million, effective January 4, 2027, which will partially replace a maturing swap. We receive one-month SOFR and pay a fixed rate for all of our interest rate swaps. If market interest rates on our unhedged variable rate debt fluctuate by 100 basis points, interest expense would increase or decrease, depending on rate movement, future earnings and cash flows, by $7.8 million annually.</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260"/>
        <w:jc w:val="left"/>
        <w:rPr>
          <w:rFonts w:ascii="Times New Roman;serif" w:hAnsi="Times New Roman;serif"/>
          <w:b/>
          <w:color w:val="000000"/>
          <w:sz w:val="20"/>
        </w:rPr>
      </w:pPr>
      <w:r>
        <w:rPr>
          <w:rFonts w:ascii="Times New Roman;serif" w:hAnsi="Times New Roman;serif"/>
          <w:b/>
          <w:color w:val="000000"/>
          <w:sz w:val="20"/>
        </w:rPr>
        <w:t>Item 4.Controls and Procedures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management has evaluated, under the supervision and with the participation of the Company’s Chief Executive Officer and Chief Financial Officer, the effectiveness of the disclosure controls and procedures (as defined in Rules 13a-15(e) and 15d-15(e) under the Exchange Act) as required by paragraph (b) of Rules 13a-15 and 15d-15 under the Exchange Act, and has concluded that as of the end of the period covered by this report, the Company’s disclosure controls and procedures were effective to give reasonable assurances that information we disclose in reports filed with the Securities and Exchange Commission is recorded, processed, summarized and reported within the time periods specified in the Securities and Exchange Commission’s rules and forms.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was no change in the Company’s internal control over financial reporting identified in connection with the evaluation required by paragraph (d) of Rules 13a-15 and 15d-15 under the Exchange Act during the Company’s most recent fiscal quarter that materially affected, or is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1b516d80a41493185453891bf22759d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260"/>
        <w:jc w:val="left"/>
        <w:rPr>
          <w:rFonts w:ascii="Times New Roman;serif" w:hAnsi="Times New Roman;serif"/>
          <w:b/>
          <w:color w:val="000000"/>
          <w:sz w:val="20"/>
        </w:rPr>
      </w:pPr>
      <w:r>
        <w:rPr>
          <w:rFonts w:ascii="Times New Roman;serif" w:hAnsi="Times New Roman;serif"/>
          <w:b/>
          <w:color w:val="000000"/>
          <w:sz w:val="20"/>
        </w:rPr>
        <w:t>Item 1.Legal Proceedings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subject to various claims, lawsuits and legal proceedings, including routine litigation arising in the ordinary course of business regarding the operation of our hotels and other company matters. While it is not possible to ascertain the ultimate outcome of such matters, management believes that the aggregate amount of such liabilities, if any, in excess of amounts covered by insurance will not have a material adverse impact on our financial condition or results of operations. The outcome of claims, lawsuits and legal proceedings brought against the Company, however, is subject to significant uncertainties.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260"/>
        <w:jc w:val="left"/>
        <w:rPr>
          <w:rFonts w:ascii="Times New Roman;serif" w:hAnsi="Times New Roman;serif"/>
          <w:b/>
          <w:color w:val="000000"/>
          <w:sz w:val="20"/>
        </w:rPr>
      </w:pPr>
      <w:r>
        <w:rPr>
          <w:rFonts w:ascii="Times New Roman;serif" w:hAnsi="Times New Roman;serif"/>
          <w:b/>
          <w:color w:val="000000"/>
          <w:sz w:val="20"/>
        </w:rPr>
        <w:t>Item 1A.Risk Factors</w:t>
      </w:r>
    </w:p>
    <w:p>
      <w:pPr>
        <w:pStyle w:val="TextBody"/>
        <w:bidi w:val="0"/>
        <w:spacing w:before="0" w:after="0"/>
        <w:jc w:val="righ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risk factors disclosed in the Company's Annual Report on Form 10-K for the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year ended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260"/>
        <w:jc w:val="left"/>
        <w:rPr>
          <w:rFonts w:ascii="Times New Roman;serif" w:hAnsi="Times New Roman;serif"/>
          <w:b/>
          <w:color w:val="000000"/>
          <w:sz w:val="20"/>
        </w:rPr>
      </w:pPr>
      <w:r>
        <w:rPr>
          <w:rFonts w:ascii="Times New Roman;serif" w:hAnsi="Times New Roman;serif"/>
          <w:b/>
          <w:color w:val="000000"/>
          <w:sz w:val="20"/>
        </w:rPr>
        <w:t>Item 2.Unregistered Sales of Equity Securities and Use of Proceeds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(a)None.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(b)Not applicable.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(c)Issuer Purchases of Equity Securities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495"/>
        <w:gridCol w:w="370"/>
        <w:gridCol w:w="374"/>
        <w:gridCol w:w="109"/>
        <w:gridCol w:w="109"/>
        <w:gridCol w:w="109"/>
        <w:gridCol w:w="463"/>
        <w:gridCol w:w="463"/>
        <w:gridCol w:w="464"/>
        <w:gridCol w:w="109"/>
        <w:gridCol w:w="109"/>
        <w:gridCol w:w="109"/>
        <w:gridCol w:w="277"/>
        <w:gridCol w:w="811"/>
        <w:gridCol w:w="143"/>
        <w:gridCol w:w="109"/>
        <w:gridCol w:w="109"/>
        <w:gridCol w:w="109"/>
        <w:gridCol w:w="715"/>
        <w:gridCol w:w="715"/>
        <w:gridCol w:w="717"/>
        <w:gridCol w:w="109"/>
        <w:gridCol w:w="109"/>
        <w:gridCol w:w="109"/>
        <w:gridCol w:w="511"/>
        <w:gridCol w:w="1999"/>
        <w:gridCol w:w="380"/>
      </w:tblGrid>
      <w:tr>
        <w:trPr/>
        <w:tc>
          <w:tcPr>
            <w:tcW w:w="495"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1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w:t>
            </w:r>
          </w:p>
          <w:p>
            <w:pPr>
              <w:pStyle w:val="TableContents"/>
              <w:bidi w:val="0"/>
              <w:spacing w:lineRule="auto" w:line="240" w:before="0" w:after="0"/>
              <w:jc w:val="center"/>
              <w:rPr/>
            </w:pPr>
            <w:r>
              <w:rPr>
                <w:rFonts w:ascii="Times New Roman;serif" w:hAnsi="Times New Roman;serif"/>
                <w:b/>
                <w:color w:val="000000"/>
                <w:sz w:val="20"/>
              </w:rPr>
              <w:t xml:space="preserve">Total Number of Shares Purchased </w:t>
            </w:r>
            <w:r>
              <w:rPr>
                <w:rFonts w:ascii="Times New Roman;serif" w:hAnsi="Times New Roman;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w:t>
              <w:b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w:t>
              <w:b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w:t>
            </w:r>
          </w:p>
          <w:p>
            <w:pPr>
              <w:pStyle w:val="TableContents"/>
              <w:bidi w:val="0"/>
              <w:spacing w:lineRule="auto" w:line="240" w:before="0" w:after="0"/>
              <w:jc w:val="center"/>
              <w:rPr/>
            </w:pPr>
            <w:r>
              <w:rPr>
                <w:rFonts w:ascii="Times New Roman;serif" w:hAnsi="Times New Roman;serif"/>
                <w:b/>
                <w:color w:val="000000"/>
                <w:sz w:val="20"/>
              </w:rPr>
              <w:t xml:space="preserve">Maximum Approximate Dollar Value of Shares that May Yet be Purchased Under the Plans or Programs (in thousands) </w:t>
            </w:r>
            <w:r>
              <w:rPr>
                <w:rFonts w:ascii="Times New Roman;serif" w:hAnsi="Times New Roman;serif"/>
                <w:b/>
                <w:color w:val="000000"/>
                <w:sz w:val="13"/>
              </w:rPr>
              <w:t xml:space="preserve">(1) </w:t>
            </w:r>
          </w:p>
        </w:tc>
      </w:tr>
      <w:tr>
        <w:trPr/>
        <w:tc>
          <w:tcPr>
            <w:tcW w:w="12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1 - January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52,373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136,975 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1 - February 28,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232,863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136,975 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1 -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33,742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136,975 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(1)Reflects the amount available under the previously approved share repurchase program that expires on May 1, 2026. On April 28, 2026, our board of directors approved a new share repurchase program, which replaced our prior share repurchase program. The new share repurchase program is effective May 1, 2026 and authorizes us to repurchase up to $300.0 of common stock. The new program will expire on May 1, 2028.</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(2)Represents shares surrendered to the Company by employees for payment of tax withholding obligations in connection with the vesting of restricted and performance stock and issuance of deferred stock. These shares are not part of the Company's share repurchase program.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260"/>
        <w:jc w:val="left"/>
        <w:rPr>
          <w:rFonts w:ascii="Times New Roman;serif" w:hAnsi="Times New Roman;serif"/>
          <w:b/>
          <w:color w:val="000000"/>
          <w:sz w:val="20"/>
        </w:rPr>
      </w:pPr>
      <w:r>
        <w:rPr>
          <w:rFonts w:ascii="Times New Roman;serif" w:hAnsi="Times New Roman;serif"/>
          <w:b/>
          <w:color w:val="000000"/>
          <w:sz w:val="20"/>
        </w:rPr>
        <w:t>Item 3.Defaults Upon Senior Securities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260"/>
        <w:jc w:val="left"/>
        <w:rPr>
          <w:rFonts w:ascii="Times New Roman;serif" w:hAnsi="Times New Roman;serif"/>
          <w:b/>
          <w:color w:val="000000"/>
          <w:sz w:val="20"/>
        </w:rPr>
      </w:pPr>
      <w:r>
        <w:rPr>
          <w:rFonts w:ascii="Times New Roman;serif" w:hAnsi="Times New Roman;serif"/>
          <w:b/>
          <w:color w:val="000000"/>
          <w:sz w:val="20"/>
        </w:rPr>
        <w:t>Item 4.Mine Safety Disclosures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260"/>
        <w:jc w:val="left"/>
        <w:rPr>
          <w:rFonts w:ascii="Times New Roman;serif" w:hAnsi="Times New Roman;serif"/>
          <w:b/>
          <w:color w:val="000000"/>
          <w:sz w:val="20"/>
        </w:rPr>
      </w:pPr>
      <w:r>
        <w:rPr>
          <w:rFonts w:ascii="Times New Roman;serif" w:hAnsi="Times New Roman;serif"/>
          <w:b/>
          <w:color w:val="000000"/>
          <w:sz w:val="20"/>
        </w:rPr>
        <w:t>Item 5.Other Information</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none of our directors or officers (as defined in Rule 16a-1(f) of the Exchange Act) adopted, terminated or modified a Rule 10b5-1 trading arrangement or non-Rule 10b5-1 trading arrangement (as such terms are defined in Item 408 of Regulation S-K).</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1b516d80a41493185453891bf22759d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6.</w:t>
      </w:r>
      <w:r>
        <w:rPr>
          <w:rFonts w:ascii="Times New Roman;serif" w:hAnsi="Times New Roman;serif"/>
          <w:b/>
          <w:color w:val="000000"/>
          <w:sz w:val="20"/>
        </w:rPr>
        <w:t>Exhibits</w:t>
      </w:r>
    </w:p>
    <w:p>
      <w:pPr>
        <w:pStyle w:val="TextBody"/>
        <w:bidi w:val="0"/>
        <w:spacing w:before="0" w:after="0"/>
        <w:jc w:val="left"/>
        <w:rPr/>
      </w:pPr>
      <w:r>
        <w:rPr/>
      </w:r>
    </w:p>
    <w:p>
      <w:pPr>
        <w:pStyle w:val="TextBody"/>
        <w:bidi w:val="0"/>
        <w:spacing w:lineRule="auto" w:line="288" w:before="0" w:after="0"/>
        <w:ind w:left="0" w:right="0" w:hanging="270"/>
        <w:jc w:val="both"/>
        <w:rPr/>
      </w:pPr>
      <w:r>
        <w:rPr>
          <w:rFonts w:ascii="Times New Roman;serif" w:hAnsi="Times New Roman;serif"/>
          <w:b w:val="false"/>
          <w:color w:val="000000"/>
          <w:sz w:val="20"/>
        </w:rPr>
        <w:t>(a)</w:t>
      </w:r>
      <w:r>
        <w:rPr>
          <w:rFonts w:ascii="Times New Roman;serif" w:hAnsi="Times New Roman;serif"/>
          <w:b w:val="false"/>
          <w:i/>
          <w:color w:val="000000"/>
          <w:sz w:val="20"/>
        </w:rPr>
        <w:t>Exhibits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exhibits are filed, or furnished as indicated, as part of this Form 10-Q:</w:t>
      </w:r>
    </w:p>
    <w:tbl>
      <w:tblPr>
        <w:tblW w:w="10205" w:type="dxa"/>
        <w:jc w:val="left"/>
        <w:tblInd w:w="0" w:type="dxa"/>
        <w:tblLayout w:type="fixed"/>
        <w:tblCellMar>
          <w:top w:w="28" w:type="dxa"/>
          <w:left w:w="28" w:type="dxa"/>
          <w:bottom w:w="28" w:type="dxa"/>
          <w:right w:w="28" w:type="dxa"/>
        </w:tblCellMar>
      </w:tblPr>
      <w:tblGrid>
        <w:gridCol w:w="319"/>
        <w:gridCol w:w="280"/>
        <w:gridCol w:w="282"/>
        <w:gridCol w:w="109"/>
        <w:gridCol w:w="109"/>
        <w:gridCol w:w="109"/>
        <w:gridCol w:w="2701"/>
        <w:gridCol w:w="2603"/>
        <w:gridCol w:w="3693"/>
      </w:tblGrid>
      <w:tr>
        <w:trPr/>
        <w:tc>
          <w:tcPr>
            <w:tcW w:w="31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3693" w:type="dxa"/>
            <w:tcBorders/>
            <w:vAlign w:val="center"/>
          </w:tcPr>
          <w:p>
            <w:pPr>
              <w:pStyle w:val="TableContents"/>
              <w:bidi w:val="0"/>
              <w:spacing w:before="0" w:after="283"/>
              <w:jc w:val="left"/>
              <w:rPr>
                <w:sz w:val="4"/>
                <w:szCs w:val="4"/>
              </w:rPr>
            </w:pPr>
            <w:r>
              <w:rPr>
                <w:sz w:val="4"/>
                <w:szCs w:val="4"/>
              </w:rPr>
            </w:r>
          </w:p>
        </w:tc>
      </w:tr>
      <w:tr>
        <w:trPr/>
        <w:tc>
          <w:tcPr>
            <w:tcW w:w="8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u w:val="single"/>
              </w:rPr>
            </w:pPr>
            <w:r>
              <w:rPr>
                <w:rFonts w:ascii="Times New Roman;serif" w:hAnsi="Times New Roman;serif"/>
                <w:b/>
                <w:color w:val="000000"/>
                <w:sz w:val="20"/>
                <w:u w:val="single"/>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7" w:type="dxa"/>
            <w:gridSpan w:val="3"/>
            <w:tcBorders/>
            <w:vAlign w:val="center"/>
          </w:tcPr>
          <w:p>
            <w:pPr>
              <w:pStyle w:val="TableContents"/>
              <w:bidi w:val="0"/>
              <w:spacing w:before="0" w:after="283"/>
              <w:jc w:val="left"/>
              <w:rPr>
                <w:sz w:val="4"/>
                <w:szCs w:val="4"/>
              </w:rPr>
            </w:pPr>
            <w:r>
              <w:rPr>
                <w:sz w:val="4"/>
                <w:szCs w:val="4"/>
              </w:rPr>
            </w:r>
          </w:p>
        </w:tc>
      </w:tr>
      <w:tr>
        <w:trPr/>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7" w:type="dxa"/>
            <w:gridSpan w:val="3"/>
            <w:tcBorders/>
            <w:vAlign w:val="center"/>
          </w:tcPr>
          <w:p>
            <w:pPr>
              <w:pStyle w:val="TableContents"/>
              <w:bidi w:val="0"/>
              <w:spacing w:before="0" w:after="283"/>
              <w:jc w:val="left"/>
              <w:rPr>
                <w:sz w:val="4"/>
                <w:szCs w:val="4"/>
              </w:rPr>
            </w:pPr>
            <w:r>
              <w:rPr>
                <w:sz w:val="4"/>
                <w:szCs w:val="4"/>
              </w:rPr>
            </w:r>
          </w:p>
        </w:tc>
      </w:tr>
      <w:tr>
        <w:trPr/>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7" w:type="dxa"/>
            <w:gridSpan w:val="3"/>
            <w:tcBorders/>
            <w:vAlign w:val="center"/>
          </w:tcPr>
          <w:p>
            <w:pPr>
              <w:pStyle w:val="TableContents"/>
              <w:bidi w:val="0"/>
              <w:spacing w:before="0" w:after="283"/>
              <w:jc w:val="left"/>
              <w:rPr>
                <w:sz w:val="4"/>
                <w:szCs w:val="4"/>
              </w:rPr>
            </w:pPr>
            <w:r>
              <w:rPr>
                <w:sz w:val="4"/>
                <w:szCs w:val="4"/>
              </w:rPr>
            </w:r>
          </w:p>
        </w:tc>
      </w:tr>
      <w:tr>
        <w:trPr/>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7" w:type="dxa"/>
            <w:gridSpan w:val="3"/>
            <w:tcBorders/>
            <w:vAlign w:val="center"/>
          </w:tcPr>
          <w:p>
            <w:pPr>
              <w:pStyle w:val="TableContents"/>
              <w:bidi w:val="0"/>
              <w:spacing w:before="0" w:after="283"/>
              <w:jc w:val="left"/>
              <w:rPr>
                <w:sz w:val="4"/>
                <w:szCs w:val="4"/>
              </w:rPr>
            </w:pPr>
            <w:r>
              <w:rPr>
                <w:sz w:val="4"/>
                <w:szCs w:val="4"/>
              </w:rPr>
            </w:r>
          </w:p>
        </w:tc>
      </w:tr>
      <w:tr>
        <w:trPr/>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7" w:type="dxa"/>
            <w:gridSpan w:val="3"/>
            <w:tcBorders/>
            <w:vAlign w:val="center"/>
          </w:tcPr>
          <w:p>
            <w:pPr>
              <w:pStyle w:val="TableContents"/>
              <w:bidi w:val="0"/>
              <w:spacing w:before="0" w:after="283"/>
              <w:jc w:val="left"/>
              <w:rPr>
                <w:sz w:val="4"/>
                <w:szCs w:val="4"/>
              </w:rPr>
            </w:pPr>
            <w:r>
              <w:rPr>
                <w:sz w:val="4"/>
                <w:szCs w:val="4"/>
              </w:rPr>
            </w:r>
          </w:p>
        </w:tc>
      </w:tr>
      <w:tr>
        <w:trPr/>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7" w:type="dxa"/>
            <w:gridSpan w:val="3"/>
            <w:tcBorders/>
            <w:vAlign w:val="center"/>
          </w:tcPr>
          <w:p>
            <w:pPr>
              <w:pStyle w:val="TableContents"/>
              <w:bidi w:val="0"/>
              <w:spacing w:before="0" w:after="283"/>
              <w:jc w:val="left"/>
              <w:rPr>
                <w:sz w:val="4"/>
                <w:szCs w:val="4"/>
              </w:rPr>
            </w:pPr>
            <w:r>
              <w:rPr>
                <w:sz w:val="4"/>
                <w:szCs w:val="4"/>
              </w:rPr>
            </w:r>
          </w:p>
        </w:tc>
      </w:tr>
      <w:tr>
        <w:trPr/>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7" w:type="dxa"/>
            <w:gridSpan w:val="3"/>
            <w:tcBorders/>
            <w:vAlign w:val="center"/>
          </w:tcPr>
          <w:p>
            <w:pPr>
              <w:pStyle w:val="TableContents"/>
              <w:bidi w:val="0"/>
              <w:spacing w:before="0" w:after="283"/>
              <w:jc w:val="left"/>
              <w:rPr>
                <w:sz w:val="4"/>
                <w:szCs w:val="4"/>
              </w:rPr>
            </w:pPr>
            <w:r>
              <w:rPr>
                <w:sz w:val="4"/>
                <w:szCs w:val="4"/>
              </w:rPr>
            </w:r>
          </w:p>
        </w:tc>
      </w:tr>
      <w:tr>
        <w:trPr/>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7" w:type="dxa"/>
            <w:gridSpan w:val="3"/>
            <w:tcBorders/>
            <w:vAlign w:val="center"/>
          </w:tcPr>
          <w:p>
            <w:pPr>
              <w:pStyle w:val="TableContents"/>
              <w:bidi w:val="0"/>
              <w:spacing w:before="0" w:after="283"/>
              <w:jc w:val="left"/>
              <w:rPr>
                <w:sz w:val="4"/>
                <w:szCs w:val="4"/>
              </w:rPr>
            </w:pPr>
            <w:r>
              <w:rPr>
                <w:sz w:val="4"/>
                <w:szCs w:val="4"/>
              </w:rPr>
            </w:r>
          </w:p>
        </w:tc>
      </w:tr>
      <w:tr>
        <w:trPr/>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7" w:type="dxa"/>
            <w:gridSpan w:val="3"/>
            <w:tcBorders/>
            <w:vAlign w:val="center"/>
          </w:tcPr>
          <w:p>
            <w:pPr>
              <w:pStyle w:val="TableContents"/>
              <w:bidi w:val="0"/>
              <w:spacing w:before="0" w:after="283"/>
              <w:jc w:val="left"/>
              <w:rPr>
                <w:sz w:val="4"/>
                <w:szCs w:val="4"/>
              </w:rPr>
            </w:pPr>
            <w:r>
              <w:rPr>
                <w:sz w:val="4"/>
                <w:szCs w:val="4"/>
              </w:rPr>
            </w:r>
          </w:p>
        </w:tc>
      </w:tr>
      <w:tr>
        <w:trPr/>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7" w:type="dxa"/>
            <w:gridSpan w:val="3"/>
            <w:tcBorders/>
            <w:vAlign w:val="center"/>
          </w:tcPr>
          <w:p>
            <w:pPr>
              <w:pStyle w:val="TableContents"/>
              <w:bidi w:val="0"/>
              <w:spacing w:before="0" w:after="283"/>
              <w:jc w:val="left"/>
              <w:rPr>
                <w:sz w:val="4"/>
                <w:szCs w:val="4"/>
              </w:rPr>
            </w:pPr>
            <w:r>
              <w:rPr>
                <w:sz w:val="4"/>
                <w:szCs w:val="4"/>
              </w:rPr>
            </w:r>
          </w:p>
        </w:tc>
      </w:tr>
      <w:tr>
        <w:trPr/>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7" w:type="dxa"/>
            <w:gridSpan w:val="3"/>
            <w:tcBorders/>
            <w:vAlign w:val="center"/>
          </w:tcPr>
          <w:p>
            <w:pPr>
              <w:pStyle w:val="TableContents"/>
              <w:bidi w:val="0"/>
              <w:spacing w:before="0" w:after="283"/>
              <w:jc w:val="left"/>
              <w:rPr>
                <w:sz w:val="4"/>
                <w:szCs w:val="4"/>
              </w:rPr>
            </w:pPr>
            <w:r>
              <w:rPr>
                <w:sz w:val="4"/>
                <w:szCs w:val="4"/>
              </w:rPr>
            </w:r>
          </w:p>
        </w:tc>
      </w:tr>
      <w:tr>
        <w:trPr/>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7" w:type="dxa"/>
            <w:gridSpan w:val="3"/>
            <w:tcBorders/>
            <w:vAlign w:val="center"/>
          </w:tcPr>
          <w:p>
            <w:pPr>
              <w:pStyle w:val="TableContents"/>
              <w:bidi w:val="0"/>
              <w:spacing w:before="0" w:after="283"/>
              <w:jc w:val="left"/>
              <w:rPr>
                <w:sz w:val="4"/>
                <w:szCs w:val="4"/>
              </w:rPr>
            </w:pPr>
            <w:r>
              <w:rPr>
                <w:sz w:val="4"/>
                <w:szCs w:val="4"/>
              </w:rPr>
            </w:r>
          </w:p>
        </w:tc>
      </w:tr>
      <w:tr>
        <w:trPr/>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7" w:type="dxa"/>
            <w:gridSpan w:val="3"/>
            <w:tcBorders/>
            <w:vAlign w:val="center"/>
          </w:tcPr>
          <w:p>
            <w:pPr>
              <w:pStyle w:val="TableContents"/>
              <w:bidi w:val="0"/>
              <w:spacing w:before="0" w:after="283"/>
              <w:jc w:val="left"/>
              <w:rPr>
                <w:sz w:val="4"/>
                <w:szCs w:val="4"/>
              </w:rPr>
            </w:pPr>
            <w:r>
              <w:rPr>
                <w:sz w:val="4"/>
                <w:szCs w:val="4"/>
              </w:rPr>
            </w:r>
          </w:p>
        </w:tc>
      </w:tr>
      <w:tr>
        <w:trPr/>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7" w:type="dxa"/>
            <w:gridSpan w:val="3"/>
            <w:tcBorders/>
            <w:vAlign w:val="center"/>
          </w:tcPr>
          <w:p>
            <w:pPr>
              <w:pStyle w:val="TableContents"/>
              <w:bidi w:val="0"/>
              <w:spacing w:before="0" w:after="283"/>
              <w:jc w:val="left"/>
              <w:rPr>
                <w:sz w:val="4"/>
                <w:szCs w:val="4"/>
              </w:rPr>
            </w:pPr>
            <w:r>
              <w:rPr>
                <w:sz w:val="4"/>
                <w:szCs w:val="4"/>
              </w:rPr>
            </w:r>
          </w:p>
        </w:tc>
      </w:tr>
      <w:tr>
        <w:trPr/>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7" w:type="dxa"/>
            <w:gridSpan w:val="3"/>
            <w:tcBorders/>
            <w:vAlign w:val="center"/>
          </w:tcPr>
          <w:p>
            <w:pPr>
              <w:pStyle w:val="TableContents"/>
              <w:bidi w:val="0"/>
              <w:spacing w:before="0" w:after="283"/>
              <w:jc w:val="left"/>
              <w:rPr>
                <w:sz w:val="4"/>
                <w:szCs w:val="4"/>
              </w:rPr>
            </w:pPr>
            <w:r>
              <w:rPr>
                <w:sz w:val="4"/>
                <w:szCs w:val="4"/>
              </w:rPr>
            </w:r>
          </w:p>
        </w:tc>
      </w:tr>
      <w:tr>
        <w:trPr/>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7" w:type="dxa"/>
            <w:gridSpan w:val="3"/>
            <w:tcBorders/>
            <w:vAlign w:val="center"/>
          </w:tcPr>
          <w:p>
            <w:pPr>
              <w:pStyle w:val="TableContents"/>
              <w:bidi w:val="0"/>
              <w:spacing w:before="0" w:after="283"/>
              <w:jc w:val="left"/>
              <w:rPr>
                <w:sz w:val="4"/>
                <w:szCs w:val="4"/>
              </w:rPr>
            </w:pPr>
            <w:r>
              <w:rPr>
                <w:sz w:val="4"/>
                <w:szCs w:val="4"/>
              </w:rPr>
            </w:r>
          </w:p>
        </w:tc>
      </w:tr>
      <w:tr>
        <w:trPr/>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7" w:type="dxa"/>
            <w:gridSpan w:val="3"/>
            <w:tcBorders/>
            <w:vAlign w:val="center"/>
          </w:tcPr>
          <w:p>
            <w:pPr>
              <w:pStyle w:val="TableContents"/>
              <w:bidi w:val="0"/>
              <w:spacing w:before="0" w:after="283"/>
              <w:jc w:val="left"/>
              <w:rPr>
                <w:sz w:val="4"/>
                <w:szCs w:val="4"/>
              </w:rPr>
            </w:pPr>
            <w:r>
              <w:rPr>
                <w:sz w:val="4"/>
                <w:szCs w:val="4"/>
              </w:rPr>
            </w:r>
          </w:p>
        </w:tc>
      </w:tr>
      <w:tr>
        <w:trPr/>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7" w:type="dxa"/>
            <w:gridSpan w:val="3"/>
            <w:tcBorders/>
            <w:vAlign w:val="center"/>
          </w:tcPr>
          <w:p>
            <w:pPr>
              <w:pStyle w:val="TableContents"/>
              <w:bidi w:val="0"/>
              <w:spacing w:before="0" w:after="283"/>
              <w:jc w:val="left"/>
              <w:rPr>
                <w:sz w:val="4"/>
                <w:szCs w:val="4"/>
              </w:rPr>
            </w:pPr>
            <w:r>
              <w:rPr>
                <w:sz w:val="4"/>
                <w:szCs w:val="4"/>
              </w:rPr>
            </w:r>
          </w:p>
        </w:tc>
      </w:tr>
      <w:tr>
        <w:trPr/>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7" w:type="dxa"/>
            <w:gridSpan w:val="3"/>
            <w:tcBorders/>
            <w:vAlign w:val="center"/>
          </w:tcPr>
          <w:p>
            <w:pPr>
              <w:pStyle w:val="TableContents"/>
              <w:bidi w:val="0"/>
              <w:spacing w:before="0" w:after="283"/>
              <w:jc w:val="left"/>
              <w:rPr>
                <w:sz w:val="4"/>
                <w:szCs w:val="4"/>
              </w:rPr>
            </w:pPr>
            <w:r>
              <w:rPr>
                <w:sz w:val="4"/>
                <w:szCs w:val="4"/>
              </w:rPr>
            </w:r>
          </w:p>
        </w:tc>
      </w:tr>
      <w:tr>
        <w:trPr/>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7" w:type="dxa"/>
            <w:gridSpan w:val="3"/>
            <w:tcBorders/>
            <w:vAlign w:val="center"/>
          </w:tcPr>
          <w:p>
            <w:pPr>
              <w:pStyle w:val="TableContents"/>
              <w:bidi w:val="0"/>
              <w:spacing w:before="0" w:after="283"/>
              <w:jc w:val="left"/>
              <w:rPr>
                <w:sz w:val="4"/>
                <w:szCs w:val="4"/>
              </w:rPr>
            </w:pPr>
            <w:r>
              <w:rPr>
                <w:sz w:val="4"/>
                <w:szCs w:val="4"/>
              </w:rPr>
            </w:r>
          </w:p>
        </w:tc>
      </w:tr>
      <w:tr>
        <w:trPr/>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7" w:type="dxa"/>
            <w:gridSpan w:val="3"/>
            <w:tcBorders/>
            <w:vAlign w:val="center"/>
          </w:tcPr>
          <w:p>
            <w:pPr>
              <w:pStyle w:val="TableContents"/>
              <w:bidi w:val="0"/>
              <w:spacing w:before="0" w:after="283"/>
              <w:jc w:val="left"/>
              <w:rPr>
                <w:sz w:val="4"/>
                <w:szCs w:val="4"/>
              </w:rPr>
            </w:pPr>
            <w:r>
              <w:rPr>
                <w:sz w:val="4"/>
                <w:szCs w:val="4"/>
              </w:rPr>
            </w:r>
          </w:p>
        </w:tc>
      </w:tr>
      <w:tr>
        <w:trPr/>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7" w:type="dxa"/>
            <w:gridSpan w:val="3"/>
            <w:tcBorders/>
            <w:vAlign w:val="center"/>
          </w:tcPr>
          <w:p>
            <w:pPr>
              <w:pStyle w:val="TableContents"/>
              <w:bidi w:val="0"/>
              <w:spacing w:before="0" w:after="283"/>
              <w:jc w:val="left"/>
              <w:rPr>
                <w:sz w:val="4"/>
                <w:szCs w:val="4"/>
              </w:rPr>
            </w:pPr>
            <w:r>
              <w:rPr>
                <w:sz w:val="4"/>
                <w:szCs w:val="4"/>
              </w:rPr>
            </w:r>
          </w:p>
        </w:tc>
      </w:tr>
      <w:tr>
        <w:trPr/>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7" w:type="dxa"/>
            <w:gridSpan w:val="3"/>
            <w:tcBorders/>
            <w:vAlign w:val="center"/>
          </w:tcPr>
          <w:p>
            <w:pPr>
              <w:pStyle w:val="TableContents"/>
              <w:bidi w:val="0"/>
              <w:spacing w:before="0" w:after="283"/>
              <w:jc w:val="left"/>
              <w:rPr>
                <w:sz w:val="4"/>
                <w:szCs w:val="4"/>
              </w:rPr>
            </w:pPr>
            <w:r>
              <w:rPr>
                <w:sz w:val="4"/>
                <w:szCs w:val="4"/>
              </w:rPr>
            </w:r>
          </w:p>
        </w:tc>
      </w:tr>
      <w:tr>
        <w:trPr/>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7" w:type="dxa"/>
            <w:gridSpan w:val="3"/>
            <w:tcBorders/>
            <w:vAlign w:val="center"/>
          </w:tcPr>
          <w:p>
            <w:pPr>
              <w:pStyle w:val="TableContents"/>
              <w:bidi w:val="0"/>
              <w:spacing w:before="0" w:after="283"/>
              <w:jc w:val="left"/>
              <w:rPr>
                <w:sz w:val="4"/>
                <w:szCs w:val="4"/>
              </w:rPr>
            </w:pPr>
            <w:r>
              <w:rPr>
                <w:sz w:val="4"/>
                <w:szCs w:val="4"/>
              </w:rPr>
            </w:r>
          </w:p>
        </w:tc>
      </w:tr>
      <w:tr>
        <w:trPr/>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7" w:type="dxa"/>
            <w:gridSpan w:val="3"/>
            <w:tcBorders/>
            <w:vAlign w:val="center"/>
          </w:tcPr>
          <w:p>
            <w:pPr>
              <w:pStyle w:val="TableContents"/>
              <w:bidi w:val="0"/>
              <w:spacing w:before="0" w:after="283"/>
              <w:jc w:val="left"/>
              <w:rPr>
                <w:sz w:val="4"/>
                <w:szCs w:val="4"/>
              </w:rPr>
            </w:pPr>
            <w:r>
              <w:rPr>
                <w:sz w:val="4"/>
                <w:szCs w:val="4"/>
              </w:rPr>
            </w:r>
          </w:p>
        </w:tc>
      </w:tr>
      <w:tr>
        <w:trPr/>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7" w:type="dxa"/>
            <w:gridSpan w:val="3"/>
            <w:tcBorders/>
            <w:vAlign w:val="center"/>
          </w:tcPr>
          <w:p>
            <w:pPr>
              <w:pStyle w:val="TableContents"/>
              <w:bidi w:val="0"/>
              <w:spacing w:before="0" w:after="283"/>
              <w:jc w:val="left"/>
              <w:rPr>
                <w:sz w:val="4"/>
                <w:szCs w:val="4"/>
              </w:rPr>
            </w:pPr>
            <w:r>
              <w:rPr>
                <w:sz w:val="4"/>
                <w:szCs w:val="4"/>
              </w:rPr>
            </w:r>
          </w:p>
        </w:tc>
      </w:tr>
      <w:tr>
        <w:trPr/>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7" w:type="dxa"/>
            <w:gridSpan w:val="3"/>
            <w:tcBorders/>
            <w:vAlign w:val="center"/>
          </w:tcPr>
          <w:p>
            <w:pPr>
              <w:pStyle w:val="TableContents"/>
              <w:bidi w:val="0"/>
              <w:spacing w:before="0" w:after="283"/>
              <w:jc w:val="left"/>
              <w:rPr>
                <w:sz w:val="4"/>
                <w:szCs w:val="4"/>
              </w:rPr>
            </w:pPr>
            <w:r>
              <w:rPr>
                <w:sz w:val="4"/>
                <w:szCs w:val="4"/>
              </w:rPr>
            </w:r>
          </w:p>
        </w:tc>
      </w:tr>
      <w:tr>
        <w:trPr/>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7" w:type="dxa"/>
            <w:gridSpan w:val="3"/>
            <w:tcBorders/>
            <w:vAlign w:val="center"/>
          </w:tcPr>
          <w:p>
            <w:pPr>
              <w:pStyle w:val="TableContents"/>
              <w:bidi w:val="0"/>
              <w:spacing w:before="0" w:after="283"/>
              <w:jc w:val="left"/>
              <w:rPr>
                <w:sz w:val="4"/>
                <w:szCs w:val="4"/>
              </w:rPr>
            </w:pPr>
            <w:r>
              <w:rPr>
                <w:sz w:val="4"/>
                <w:szCs w:val="4"/>
              </w:rPr>
            </w:r>
          </w:p>
        </w:tc>
      </w:tr>
      <w:tr>
        <w:trPr/>
        <w:tc>
          <w:tcPr>
            <w:tcW w:w="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rh_exhibit311xmarch312026.htm">
              <w:r>
                <w:rPr>
                  <w:rStyle w:val="InternetLink"/>
                  <w:rFonts w:ascii="Times New Roman;serif" w:hAnsi="Times New Roman;serif"/>
                  <w:b w:val="false"/>
                  <w:color w:val="0000FF"/>
                  <w:sz w:val="20"/>
                  <w:u w:val="single"/>
                </w:rPr>
                <w:t>31.1</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Chief Executive Officer Required by Rule 13a-14(a) and Rule 15d-14(a) of the Exchange Act</w:t>
            </w:r>
          </w:p>
        </w:tc>
      </w:tr>
      <w:tr>
        <w:trPr/>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rh_exhibit312xmarch312026.htm">
              <w:r>
                <w:rPr>
                  <w:rStyle w:val="InternetLink"/>
                  <w:rFonts w:ascii="Times New Roman;serif" w:hAnsi="Times New Roman;serif"/>
                  <w:b w:val="false"/>
                  <w:color w:val="0000FF"/>
                  <w:sz w:val="20"/>
                  <w:u w:val="single"/>
                </w:rPr>
                <w:t>31.2</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Chief Financial Officer Required by Rule 13a-14(a) and Rule 15d-14(a) of the Exchange Act</w:t>
            </w:r>
          </w:p>
        </w:tc>
      </w:tr>
      <w:tr>
        <w:trPr/>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rh_exhibit321xmarch312026.htm">
              <w:r>
                <w:rPr>
                  <w:rStyle w:val="InternetLink"/>
                  <w:rFonts w:ascii="Times New Roman;serif" w:hAnsi="Times New Roman;serif"/>
                  <w:b w:val="false"/>
                  <w:color w:val="0000FF"/>
                  <w:sz w:val="20"/>
                  <w:u w:val="single"/>
                </w:rPr>
                <w:t>32.1</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Chief Executive Officer and Chief Financial Officer Pursuant to 18 U.S.C. Section 1350, as adopted pursuant to Section 906 of the Sarbanes-Oxley Act of 2002</w:t>
            </w:r>
          </w:p>
        </w:tc>
      </w:tr>
      <w:tr>
        <w:trPr/>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with applicable taxonomy extension information contained in Exhibits 101.*)</w:t>
            </w:r>
          </w:p>
        </w:tc>
      </w:tr>
      <w:tr>
        <w:trPr/>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vAlign w:val="center"/>
          </w:tcPr>
          <w:p>
            <w:pPr>
              <w:pStyle w:val="TableContents"/>
              <w:bidi w:val="0"/>
              <w:spacing w:before="0" w:after="283"/>
              <w:jc w:val="left"/>
              <w:rPr>
                <w:sz w:val="4"/>
                <w:szCs w:val="4"/>
              </w:rPr>
            </w:pPr>
            <w:r>
              <w:rPr>
                <w:sz w:val="4"/>
                <w:szCs w:val="4"/>
              </w:rPr>
            </w:r>
          </w:p>
        </w:tc>
        <w:tc>
          <w:tcPr>
            <w:tcW w:w="9324" w:type="dxa"/>
            <w:gridSpan w:val="6"/>
            <w:tcBorders/>
          </w:tcPr>
          <w:p>
            <w:pPr>
              <w:pStyle w:val="TableContents"/>
              <w:bidi w:val="0"/>
              <w:spacing w:before="0" w:after="283"/>
              <w:jc w:val="left"/>
              <w:rPr>
                <w:sz w:val="4"/>
                <w:szCs w:val="4"/>
              </w:rPr>
            </w:pPr>
            <w:r>
              <w:rPr>
                <w:sz w:val="4"/>
                <w:szCs w:val="4"/>
              </w:rPr>
            </w:r>
          </w:p>
        </w:tc>
      </w:tr>
      <w:tr>
        <w:trPr/>
        <w:tc>
          <w:tcPr>
            <w:tcW w:w="881" w:type="dxa"/>
            <w:gridSpan w:val="3"/>
            <w:tcBorders/>
            <w:vAlign w:val="center"/>
          </w:tcPr>
          <w:p>
            <w:pPr>
              <w:pStyle w:val="TableContents"/>
              <w:bidi w:val="0"/>
              <w:spacing w:before="0" w:after="283"/>
              <w:jc w:val="left"/>
              <w:rPr>
                <w:sz w:val="4"/>
                <w:szCs w:val="4"/>
              </w:rPr>
            </w:pPr>
            <w:r>
              <w:rPr>
                <w:sz w:val="4"/>
                <w:szCs w:val="4"/>
              </w:rPr>
            </w:r>
          </w:p>
        </w:tc>
        <w:tc>
          <w:tcPr>
            <w:tcW w:w="9324" w:type="dxa"/>
            <w:gridSpan w:val="6"/>
            <w:tcBorders/>
          </w:tcPr>
          <w:p>
            <w:pPr>
              <w:pStyle w:val="TableContents"/>
              <w:bidi w:val="0"/>
              <w:spacing w:before="0" w:after="283"/>
              <w:jc w:val="left"/>
              <w:rPr>
                <w:sz w:val="4"/>
                <w:szCs w:val="4"/>
              </w:rPr>
            </w:pPr>
            <w:r>
              <w:rPr>
                <w:sz w:val="4"/>
                <w:szCs w:val="4"/>
              </w:rPr>
            </w:r>
          </w:p>
        </w:tc>
      </w:tr>
      <w:tr>
        <w:trPr/>
        <w:tc>
          <w:tcPr>
            <w:tcW w:w="881" w:type="dxa"/>
            <w:gridSpan w:val="3"/>
            <w:tcBorders/>
            <w:vAlign w:val="center"/>
          </w:tcPr>
          <w:p>
            <w:pPr>
              <w:pStyle w:val="TableContents"/>
              <w:bidi w:val="0"/>
              <w:spacing w:before="0" w:after="283"/>
              <w:jc w:val="left"/>
              <w:rPr>
                <w:sz w:val="4"/>
                <w:szCs w:val="4"/>
              </w:rPr>
            </w:pPr>
            <w:r>
              <w:rPr>
                <w:sz w:val="4"/>
                <w:szCs w:val="4"/>
              </w:rPr>
            </w:r>
          </w:p>
        </w:tc>
        <w:tc>
          <w:tcPr>
            <w:tcW w:w="9324" w:type="dxa"/>
            <w:gridSpan w:val="6"/>
            <w:tcBorders/>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Filed herewith</w:t>
            </w:r>
          </w:p>
        </w:tc>
      </w:tr>
      <w:tr>
        <w:trPr/>
        <w:tc>
          <w:tcPr>
            <w:tcW w:w="881" w:type="dxa"/>
            <w:gridSpan w:val="3"/>
            <w:tcBorders/>
            <w:vAlign w:val="center"/>
          </w:tcPr>
          <w:p>
            <w:pPr>
              <w:pStyle w:val="TableContents"/>
              <w:bidi w:val="0"/>
              <w:spacing w:before="0" w:after="283"/>
              <w:jc w:val="left"/>
              <w:rPr>
                <w:sz w:val="4"/>
                <w:szCs w:val="4"/>
              </w:rPr>
            </w:pPr>
            <w:r>
              <w:rPr>
                <w:sz w:val="4"/>
                <w:szCs w:val="4"/>
              </w:rPr>
            </w:r>
          </w:p>
        </w:tc>
        <w:tc>
          <w:tcPr>
            <w:tcW w:w="9324" w:type="dxa"/>
            <w:gridSpan w:val="6"/>
            <w:tcBorders/>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1b516d80a41493185453891bf22759d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both"/>
        <w:rPr/>
      </w:pPr>
      <w:r>
        <w:rPr/>
      </w:r>
    </w:p>
    <w:p>
      <w:pPr>
        <w:pStyle w:val="TextBody"/>
        <w:bidi w:val="0"/>
        <w:spacing w:before="0" w:after="0"/>
        <w:jc w:val="both"/>
        <w:rPr/>
      </w:pPr>
      <w:r>
        <w:rPr/>
      </w:r>
    </w:p>
    <w:tbl>
      <w:tblPr>
        <w:tblW w:w="6134" w:type="dxa"/>
        <w:jc w:val="left"/>
        <w:tblInd w:w="0" w:type="dxa"/>
        <w:tblLayout w:type="fixed"/>
        <w:tblCellMar>
          <w:top w:w="28" w:type="dxa"/>
          <w:left w:w="28" w:type="dxa"/>
          <w:bottom w:w="28" w:type="dxa"/>
          <w:right w:w="28" w:type="dxa"/>
        </w:tblCellMar>
      </w:tblPr>
      <w:tblGrid>
        <w:gridCol w:w="1961"/>
        <w:gridCol w:w="1725"/>
        <w:gridCol w:w="2448"/>
      </w:tblGrid>
      <w:tr>
        <w:trPr/>
        <w:tc>
          <w:tcPr>
            <w:tcW w:w="1961"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2448"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DiamondRock Hospitality Company</w:t>
            </w:r>
          </w:p>
        </w:tc>
      </w:tr>
      <w:tr>
        <w:trPr/>
        <w:tc>
          <w:tcPr>
            <w:tcW w:w="61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30, 2026</w:t>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Briony R. Quinn</w:t>
            </w:r>
          </w:p>
        </w:tc>
      </w:tr>
      <w:tr>
        <w:trPr/>
        <w:tc>
          <w:tcPr>
            <w:tcW w:w="6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Briony R. Quinn</w:t>
            </w:r>
          </w:p>
        </w:tc>
      </w:tr>
      <w:tr>
        <w:trPr/>
        <w:tc>
          <w:tcPr>
            <w:tcW w:w="6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 and Treasurer</w:t>
            </w:r>
          </w:p>
        </w:tc>
      </w:tr>
      <w:tr>
        <w:trPr/>
        <w:tc>
          <w:tcPr>
            <w:tcW w:w="6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Stephen M. Spierto</w:t>
            </w:r>
          </w:p>
        </w:tc>
      </w:tr>
      <w:tr>
        <w:trPr/>
        <w:tc>
          <w:tcPr>
            <w:tcW w:w="6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Stephen M. Spierto</w:t>
            </w:r>
          </w:p>
        </w:tc>
      </w:tr>
      <w:tr>
        <w:trPr/>
        <w:tc>
          <w:tcPr>
            <w:tcW w:w="6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Accounting Officer and Corporate Controller</w:t>
            </w:r>
          </w:p>
        </w:tc>
      </w:tr>
      <w:tr>
        <w:trPr/>
        <w:tc>
          <w:tcPr>
            <w:tcW w:w="6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Certification of Chief Executive Officer</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Pursuant to Rule 13a-14(a) and Rule 15d-14(a)</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Jeffrey J. Donnelly,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DiamondRock Hospitality Company;</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Date: April 30, 2026 </w:t>
      </w:r>
    </w:p>
    <w:tbl>
      <w:tblPr>
        <w:tblW w:w="2862" w:type="dxa"/>
        <w:jc w:val="left"/>
        <w:tblInd w:w="0" w:type="dxa"/>
        <w:tblLayout w:type="fixed"/>
        <w:tblCellMar>
          <w:top w:w="28" w:type="dxa"/>
          <w:left w:w="28" w:type="dxa"/>
          <w:bottom w:w="28" w:type="dxa"/>
          <w:right w:w="28" w:type="dxa"/>
        </w:tblCellMar>
      </w:tblPr>
      <w:tblGrid>
        <w:gridCol w:w="124"/>
        <w:gridCol w:w="109"/>
        <w:gridCol w:w="109"/>
        <w:gridCol w:w="737"/>
        <w:gridCol w:w="737"/>
        <w:gridCol w:w="10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Jeffrey J. Donnelly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Jeffrey J. Donnelly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br/>
              <w:t>(Principal Executive Officer)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pPr>
      <w:r>
        <w:rPr>
          <w:color w:val="000000"/>
        </w:rPr>
        <w:t>                                                 </w:t>
      </w: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Certification of Chief Financial Officer</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Pursuant to Rule 13a-14(a) and Rule 15d-14(a)</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Briony R. Quinn,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DiamondRock Hospitality Company;</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Date: April 30, 2026</w:t>
      </w:r>
    </w:p>
    <w:tbl>
      <w:tblPr>
        <w:tblW w:w="3491" w:type="dxa"/>
        <w:jc w:val="left"/>
        <w:tblInd w:w="0" w:type="dxa"/>
        <w:tblLayout w:type="fixed"/>
        <w:tblCellMar>
          <w:top w:w="28" w:type="dxa"/>
          <w:left w:w="28" w:type="dxa"/>
          <w:bottom w:w="28" w:type="dxa"/>
          <w:right w:w="28" w:type="dxa"/>
        </w:tblCellMar>
      </w:tblPr>
      <w:tblGrid>
        <w:gridCol w:w="124"/>
        <w:gridCol w:w="109"/>
        <w:gridCol w:w="109"/>
        <w:gridCol w:w="919"/>
        <w:gridCol w:w="919"/>
        <w:gridCol w:w="13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Briony R. Quinn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Briony R. Quinn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w:t>
              <w:br/>
              <w:t>Chief Financial Officer and Treasurer</w:t>
              <w:br/>
              <w:t>(Principal Financial Officer)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Certification</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Pursuant to 18 U.S.C. Section 1350</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undersigned officers, who are the Chief Executive Officer and Chief Financial Officer of DiamondRock Hospitality Company (the “Company”), each hereby certifies to the best of his or her knowledge, that the Company’s Quarterly Report on Form 10-Q (the “Report”) to which this certification is attached, as filed with the Securities and Exchange Commission on the date hereof, fully complies with the requirements of Section 13(a) or 15(d), as applicable, of the Securities Exchange Act of 1934, as amended, and that the information contained in the Report fairly presents, in all material respects, the financial condition and results of operations of the Company.</w:t>
      </w:r>
    </w:p>
    <w:tbl>
      <w:tblPr>
        <w:tblW w:w="7646" w:type="dxa"/>
        <w:jc w:val="left"/>
        <w:tblInd w:w="0" w:type="dxa"/>
        <w:tblLayout w:type="fixed"/>
        <w:tblCellMar>
          <w:top w:w="28" w:type="dxa"/>
          <w:left w:w="28" w:type="dxa"/>
          <w:bottom w:w="28" w:type="dxa"/>
          <w:right w:w="28" w:type="dxa"/>
        </w:tblCellMar>
      </w:tblPr>
      <w:tblGrid>
        <w:gridCol w:w="739"/>
        <w:gridCol w:w="649"/>
        <w:gridCol w:w="652"/>
        <w:gridCol w:w="109"/>
        <w:gridCol w:w="109"/>
        <w:gridCol w:w="109"/>
        <w:gridCol w:w="1541"/>
        <w:gridCol w:w="1541"/>
        <w:gridCol w:w="2197"/>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2197"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Jeffrey J. Donnelly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Briony R. Quinn</w:t>
            </w:r>
          </w:p>
        </w:tc>
      </w:tr>
      <w:tr>
        <w:trPr/>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Jeffrey J. Donnelly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Briony R. Quinn</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 and Treasurer</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30,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30, 2026</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16177</Words>
  <Characters>89898</Characters>
  <CharactersWithSpaces>104833</CharactersWithSpaces>
  <Paragraphs>2354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