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Washington, D.C. 20549</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001-32514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DIAMONDROCK HOSPITALITY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501" w:type="dxa"/>
        <w:jc w:val="left"/>
        <w:tblInd w:w="0" w:type="dxa"/>
        <w:tblLayout w:type="fixed"/>
        <w:tblCellMar>
          <w:top w:w="28" w:type="dxa"/>
          <w:left w:w="28" w:type="dxa"/>
          <w:bottom w:w="28" w:type="dxa"/>
          <w:right w:w="28" w:type="dxa"/>
        </w:tblCellMar>
      </w:tblPr>
      <w:tblGrid>
        <w:gridCol w:w="1125"/>
        <w:gridCol w:w="987"/>
        <w:gridCol w:w="993"/>
        <w:gridCol w:w="324"/>
        <w:gridCol w:w="324"/>
        <w:gridCol w:w="326"/>
        <w:gridCol w:w="316"/>
        <w:gridCol w:w="316"/>
        <w:gridCol w:w="329"/>
        <w:gridCol w:w="109"/>
        <w:gridCol w:w="109"/>
        <w:gridCol w:w="109"/>
        <w:gridCol w:w="915"/>
        <w:gridCol w:w="915"/>
        <w:gridCol w:w="130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20-1180098</w:t>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7373 Wisconsin Avenue, Suite 1900</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Bethesda,</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20814</w:t>
            </w:r>
          </w:p>
        </w:tc>
      </w:tr>
      <w:tr>
        <w:trPr/>
        <w:tc>
          <w:tcPr>
            <w:tcW w:w="5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(240) 744-1150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DRH</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47"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479"/>
        <w:gridCol w:w="479"/>
        <w:gridCol w:w="481"/>
        <w:gridCol w:w="109"/>
        <w:gridCol w:w="109"/>
        <w:gridCol w:w="109"/>
        <w:gridCol w:w="109"/>
        <w:gridCol w:w="109"/>
        <w:gridCol w:w="109"/>
        <w:gridCol w:w="599"/>
        <w:gridCol w:w="599"/>
        <w:gridCol w:w="601"/>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20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56"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18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registrant had 204,605,681 shares of its $0.01 par value common stock outstanding as of July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INDEX</w:t>
      </w:r>
    </w:p>
    <w:tbl>
      <w:tblPr>
        <w:tblW w:w="10205" w:type="dxa"/>
        <w:jc w:val="center"/>
        <w:tblInd w:w="0" w:type="dxa"/>
        <w:tblLayout w:type="fixed"/>
        <w:tblCellMar>
          <w:top w:w="28" w:type="dxa"/>
          <w:left w:w="28" w:type="dxa"/>
          <w:bottom w:w="28" w:type="dxa"/>
          <w:right w:w="28" w:type="dxa"/>
        </w:tblCellMar>
      </w:tblPr>
      <w:tblGrid>
        <w:gridCol w:w="3116"/>
        <w:gridCol w:w="2625"/>
        <w:gridCol w:w="2586"/>
        <w:gridCol w:w="547"/>
        <w:gridCol w:w="547"/>
        <w:gridCol w:w="784"/>
      </w:tblGrid>
      <w:tr>
        <w:trPr/>
        <w:tc>
          <w:tcPr>
            <w:tcW w:w="3116"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268202536394636954535ff9cee23e7_10">
              <w:r>
                <w:rPr>
                  <w:rStyle w:val="InternetLink"/>
                  <w:rFonts w:ascii="Times New Roman;serif" w:hAnsi="Times New Roman;serif"/>
                  <w:b/>
                  <w:color w:val="0000FF"/>
                  <w:sz w:val="20"/>
                  <w:u w:val="single"/>
                </w:rPr>
                <w:t>PART I. FINANCIAL INFORMATION</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13">
              <w:r>
                <w:rPr>
                  <w:rStyle w:val="InternetLink"/>
                  <w:rFonts w:ascii="Times New Roman;serif" w:hAnsi="Times New Roman;serif"/>
                  <w:b w:val="false"/>
                  <w:color w:val="0000FF"/>
                  <w:sz w:val="20"/>
                  <w:u w:val="single"/>
                </w:rPr>
                <w:t>Item 1. Financial Statements: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16">
              <w:r>
                <w:rPr>
                  <w:rStyle w:val="InternetLink"/>
                  <w:rFonts w:ascii="Times New Roman;serif" w:hAnsi="Times New Roman;serif"/>
                  <w:b w:val="false"/>
                  <w:color w:val="0000FF"/>
                  <w:sz w:val="20"/>
                  <w:u w:val="single"/>
                </w:rPr>
                <w:t>Consolidated Balance Sheets as of June 30, 2026 and December 31, 2025</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16">
              <w:r>
                <w:rPr>
                  <w:rStyle w:val="InternetLink"/>
                  <w:rFonts w:ascii="Times New Roman;serif" w:hAnsi="Times New Roman;serif"/>
                  <w:b w:val="false"/>
                  <w:color w:val="0000FF"/>
                  <w:sz w:val="20"/>
                  <w:u w:val="single"/>
                </w:rPr>
                <w:t>1</w:t>
              </w:r>
            </w:hyperlink>
          </w:p>
        </w:tc>
      </w:tr>
      <w:tr>
        <w:trPr/>
        <w:tc>
          <w:tcPr>
            <w:tcW w:w="8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19">
              <w:r>
                <w:rPr>
                  <w:rStyle w:val="InternetLink"/>
                  <w:rFonts w:ascii="Times New Roman;serif" w:hAnsi="Times New Roman;serif"/>
                  <w:b w:val="false"/>
                  <w:color w:val="000080"/>
                  <w:sz w:val="20"/>
                  <w:u w:val="single"/>
                </w:rPr>
                <w:t>Consolidated Statements of Operations and Comprehensive Income for the Three</w:t>
              </w:r>
            </w:hyperlink>
            <w:hyperlink w:anchor="ic268202536394636954535ff9cee23e7_19">
              <w:r>
                <w:rPr>
                  <w:rStyle w:val="InternetLink"/>
                  <w:rFonts w:ascii="Times New Roman;serif" w:hAnsi="Times New Roman;serif"/>
                  <w:b w:val="false"/>
                  <w:color w:val="000080"/>
                  <w:sz w:val="20"/>
                  <w:u w:val="single"/>
                </w:rPr>
                <w:t xml:space="preserve"> and Six Months Ended June 30, 2026 and 2025</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19">
              <w:r>
                <w:rPr>
                  <w:rStyle w:val="InternetLink"/>
                  <w:rFonts w:ascii="Times New Roman;serif" w:hAnsi="Times New Roman;serif"/>
                  <w:b w:val="false"/>
                  <w:color w:val="0000FF"/>
                  <w:sz w:val="20"/>
                  <w:u w:val="single"/>
                </w:rPr>
                <w:t>2</w:t>
              </w:r>
            </w:hyperlink>
          </w:p>
        </w:tc>
      </w:tr>
      <w:tr>
        <w:trPr/>
        <w:tc>
          <w:tcPr>
            <w:tcW w:w="8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22">
              <w:r>
                <w:rPr>
                  <w:rStyle w:val="InternetLink"/>
                  <w:rFonts w:ascii="Times New Roman;serif" w:hAnsi="Times New Roman;serif"/>
                  <w:b w:val="false"/>
                  <w:color w:val="0000FF"/>
                  <w:sz w:val="20"/>
                  <w:u w:val="single"/>
                </w:rPr>
                <w:t>Consolidated Statements of Equity for the Three and Six Months Ended June 30, 2026 and 2025</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22">
              <w:r>
                <w:rPr>
                  <w:rStyle w:val="InternetLink"/>
                  <w:rFonts w:ascii="Times New Roman;serif" w:hAnsi="Times New Roman;serif"/>
                  <w:b w:val="false"/>
                  <w:color w:val="0000FF"/>
                  <w:sz w:val="20"/>
                  <w:u w:val="single"/>
                </w:rPr>
                <w:t>4</w:t>
              </w:r>
            </w:hyperlink>
          </w:p>
        </w:tc>
      </w:tr>
      <w:tr>
        <w:trPr/>
        <w:tc>
          <w:tcPr>
            <w:tcW w:w="8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25">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25">
              <w:r>
                <w:rPr>
                  <w:rStyle w:val="InternetLink"/>
                  <w:rFonts w:ascii="Times New Roman;serif" w:hAnsi="Times New Roman;serif"/>
                  <w:b w:val="false"/>
                  <w:color w:val="0000FF"/>
                  <w:sz w:val="20"/>
                  <w:u w:val="single"/>
                </w:rPr>
                <w:t>6</w:t>
              </w:r>
            </w:hyperlink>
          </w:p>
        </w:tc>
      </w:tr>
      <w:tr>
        <w:trPr/>
        <w:tc>
          <w:tcPr>
            <w:tcW w:w="8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28">
              <w:r>
                <w:rPr>
                  <w:rStyle w:val="InternetLink"/>
                  <w:rFonts w:ascii="Times New Roman;serif" w:hAnsi="Times New Roman;serif"/>
                  <w:b w:val="false"/>
                  <w:color w:val="0000FF"/>
                  <w:sz w:val="20"/>
                  <w:u w:val="single"/>
                </w:rPr>
                <w:t>Notes to the Consolidated Financial Statements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28">
              <w:r>
                <w:rPr>
                  <w:rStyle w:val="InternetLink"/>
                  <w:rFonts w:ascii="Times New Roman;serif" w:hAnsi="Times New Roman;serif"/>
                  <w:b w:val="false"/>
                  <w:color w:val="0000FF"/>
                  <w:sz w:val="20"/>
                  <w:u w:val="single"/>
                </w:rPr>
                <w:t>8</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70">
              <w:r>
                <w:rPr>
                  <w:rStyle w:val="InternetLink"/>
                  <w:rFonts w:ascii="Times New Roman;serif" w:hAnsi="Times New Roman;serif"/>
                  <w:b w:val="false"/>
                  <w:color w:val="0000FF"/>
                  <w:sz w:val="20"/>
                  <w:u w:val="single"/>
                </w:rPr>
                <w:t>19</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73">
              <w:r>
                <w:rPr>
                  <w:rStyle w:val="InternetLink"/>
                  <w:rFonts w:ascii="Times New Roman;serif" w:hAnsi="Times New Roman;serif"/>
                  <w:b w:val="false"/>
                  <w:color w:val="0000FF"/>
                  <w:sz w:val="20"/>
                  <w:u w:val="single"/>
                </w:rPr>
                <w:t>Item 3. Quantitative and Qualitative Disclosures About Market Risk</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73">
              <w:r>
                <w:rPr>
                  <w:rStyle w:val="InternetLink"/>
                  <w:rFonts w:ascii="Times New Roman;serif" w:hAnsi="Times New Roman;serif"/>
                  <w:b w:val="false"/>
                  <w:color w:val="0000FF"/>
                  <w:sz w:val="20"/>
                  <w:u w:val="single"/>
                </w:rPr>
                <w:t>33</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76">
              <w:r>
                <w:rPr>
                  <w:rStyle w:val="InternetLink"/>
                  <w:rFonts w:ascii="Times New Roman;serif" w:hAnsi="Times New Roman;serif"/>
                  <w:b w:val="false"/>
                  <w:color w:val="0000FF"/>
                  <w:sz w:val="20"/>
                  <w:u w:val="single"/>
                </w:rPr>
                <w:t>Item 4. Controls and Procedures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76">
              <w:r>
                <w:rPr>
                  <w:rStyle w:val="InternetLink"/>
                  <w:rFonts w:ascii="Times New Roman;serif" w:hAnsi="Times New Roman;serif"/>
                  <w:b w:val="false"/>
                  <w:color w:val="0000FF"/>
                  <w:sz w:val="20"/>
                  <w:u w:val="single"/>
                </w:rPr>
                <w:t>33</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268202536394636954535ff9cee23e7_79">
              <w:r>
                <w:rPr>
                  <w:rStyle w:val="InternetLink"/>
                  <w:rFonts w:ascii="Times New Roman;serif" w:hAnsi="Times New Roman;serif"/>
                  <w:b/>
                  <w:color w:val="0000FF"/>
                  <w:sz w:val="20"/>
                  <w:u w:val="single"/>
                </w:rPr>
                <w:t>PART II. OTHER INFORMATION</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82">
              <w:r>
                <w:rPr>
                  <w:rStyle w:val="InternetLink"/>
                  <w:rFonts w:ascii="Times New Roman;serif" w:hAnsi="Times New Roman;serif"/>
                  <w:b w:val="false"/>
                  <w:color w:val="0000FF"/>
                  <w:sz w:val="20"/>
                  <w:u w:val="single"/>
                </w:rPr>
                <w:t>Item 1. Legal Proceedings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82">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85">
              <w:r>
                <w:rPr>
                  <w:rStyle w:val="InternetLink"/>
                  <w:rFonts w:ascii="Times New Roman;serif" w:hAnsi="Times New Roman;serif"/>
                  <w:b w:val="false"/>
                  <w:color w:val="0000FF"/>
                  <w:sz w:val="20"/>
                  <w:u w:val="single"/>
                </w:rPr>
                <w:t>Item 1A. Risk Factors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85">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88">
              <w:r>
                <w:rPr>
                  <w:rStyle w:val="InternetLink"/>
                  <w:rFonts w:ascii="Times New Roman;serif" w:hAnsi="Times New Roman;serif"/>
                  <w:b w:val="false"/>
                  <w:color w:val="0000FF"/>
                  <w:sz w:val="20"/>
                  <w:u w:val="single"/>
                </w:rPr>
                <w:t>Item 2. Unregistered Sales of Equity Securities and Use of Proceeds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88">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91">
              <w:r>
                <w:rPr>
                  <w:rStyle w:val="InternetLink"/>
                  <w:rFonts w:ascii="Times New Roman;serif" w:hAnsi="Times New Roman;serif"/>
                  <w:b w:val="false"/>
                  <w:color w:val="0000FF"/>
                  <w:sz w:val="20"/>
                  <w:u w:val="single"/>
                </w:rPr>
                <w:t>Item 3. Defaults Upon Senior Securities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91">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94">
              <w:r>
                <w:rPr>
                  <w:rStyle w:val="InternetLink"/>
                  <w:rFonts w:ascii="Times New Roman;serif" w:hAnsi="Times New Roman;serif"/>
                  <w:b w:val="false"/>
                  <w:color w:val="0000FF"/>
                  <w:sz w:val="20"/>
                  <w:u w:val="single"/>
                </w:rPr>
                <w:t>Item 4. Mine Safety Disclosures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94">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97">
              <w:r>
                <w:rPr>
                  <w:rStyle w:val="InternetLink"/>
                  <w:rFonts w:ascii="Times New Roman;serif" w:hAnsi="Times New Roman;serif"/>
                  <w:b w:val="false"/>
                  <w:color w:val="0000FF"/>
                  <w:sz w:val="20"/>
                  <w:u w:val="single"/>
                </w:rPr>
                <w:t>Item 5. Other Information</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97">
              <w:r>
                <w:rPr>
                  <w:rStyle w:val="InternetLink"/>
                  <w:rFonts w:ascii="Times New Roman;serif" w:hAnsi="Times New Roman;serif"/>
                  <w:b w:val="false"/>
                  <w:color w:val="0000FF"/>
                  <w:sz w:val="20"/>
                  <w:u w:val="single"/>
                </w:rPr>
                <w:t>34</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68202536394636954535ff9cee23e7_100">
              <w:r>
                <w:rPr>
                  <w:rStyle w:val="InternetLink"/>
                  <w:rFonts w:ascii="Times New Roman;serif" w:hAnsi="Times New Roman;serif"/>
                  <w:b w:val="false"/>
                  <w:color w:val="0000FF"/>
                  <w:sz w:val="20"/>
                  <w:u w:val="single"/>
                </w:rPr>
                <w:t>Item 6. Exhibits</w:t>
              </w:r>
            </w:hyperlink>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68202536394636954535ff9cee23e7_100">
              <w:r>
                <w:rPr>
                  <w:rStyle w:val="InternetLink"/>
                  <w:rFonts w:ascii="Times New Roman;serif" w:hAnsi="Times New Roman;serif"/>
                  <w:b w:val="false"/>
                  <w:color w:val="0000FF"/>
                  <w:sz w:val="20"/>
                  <w:u w:val="single"/>
                </w:rPr>
                <w:t>35</w:t>
              </w:r>
            </w:hyperlink>
          </w:p>
        </w:tc>
      </w:tr>
      <w:tr>
        <w:trPr/>
        <w:tc>
          <w:tcPr>
            <w:tcW w:w="8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I.Financial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67"/>
        <w:gridCol w:w="2176"/>
        <w:gridCol w:w="2192"/>
        <w:gridCol w:w="211"/>
        <w:gridCol w:w="991"/>
        <w:gridCol w:w="109"/>
        <w:gridCol w:w="109"/>
        <w:gridCol w:w="109"/>
        <w:gridCol w:w="109"/>
        <w:gridCol w:w="238"/>
        <w:gridCol w:w="1119"/>
        <w:gridCol w:w="175"/>
      </w:tblGrid>
      <w:tr>
        <w:trPr/>
        <w:tc>
          <w:tcPr>
            <w:tcW w:w="2667"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(Audited)</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hotel managers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3,066,291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3,003,701</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hotel managers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Unfavorable contract liabilities,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 and unpaid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related to key money,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1,546,616 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400,000,000 shares authorized; 204,505,826 and 203,703,182 shares issued and outstanding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 excess of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(662,209)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1,447,885 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1,457,085 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3,066,291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3,003,701</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08"/>
        <w:gridCol w:w="1436"/>
        <w:gridCol w:w="1446"/>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0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hotel property,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the Company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preferred stockholders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20"/>
        <w:gridCol w:w="1511"/>
        <w:gridCol w:w="1514"/>
        <w:gridCol w:w="225"/>
        <w:gridCol w:w="770"/>
        <w:gridCol w:w="115"/>
        <w:gridCol w:w="115"/>
        <w:gridCol w:w="115"/>
        <w:gridCol w:w="115"/>
        <w:gridCol w:w="225"/>
        <w:gridCol w:w="770"/>
        <w:gridCol w:w="115"/>
        <w:gridCol w:w="109"/>
        <w:gridCol w:w="109"/>
        <w:gridCol w:w="109"/>
        <w:gridCol w:w="211"/>
        <w:gridCol w:w="826"/>
        <w:gridCol w:w="109"/>
        <w:gridCol w:w="109"/>
        <w:gridCol w:w="109"/>
        <w:gridCol w:w="109"/>
        <w:gridCol w:w="211"/>
        <w:gridCol w:w="721"/>
        <w:gridCol w:w="163"/>
      </w:tblGrid>
      <w:tr>
        <w:trPr/>
        <w:tc>
          <w:tcPr>
            <w:tcW w:w="172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derivative instruments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Rabbi Trust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Company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545" w:type="dxa"/>
        <w:jc w:val="center"/>
        <w:tblInd w:w="0" w:type="dxa"/>
        <w:tblLayout w:type="fixed"/>
        <w:tblCellMar>
          <w:top w:w="28" w:type="dxa"/>
          <w:left w:w="28" w:type="dxa"/>
          <w:bottom w:w="28" w:type="dxa"/>
          <w:right w:w="28" w:type="dxa"/>
        </w:tblCellMar>
      </w:tblPr>
      <w:tblGrid>
        <w:gridCol w:w="560"/>
        <w:gridCol w:w="215"/>
        <w:gridCol w:w="216"/>
        <w:gridCol w:w="109"/>
        <w:gridCol w:w="109"/>
        <w:gridCol w:w="126"/>
        <w:gridCol w:w="126"/>
        <w:gridCol w:w="446"/>
        <w:gridCol w:w="425"/>
        <w:gridCol w:w="127"/>
        <w:gridCol w:w="109"/>
        <w:gridCol w:w="109"/>
        <w:gridCol w:w="109"/>
        <w:gridCol w:w="181"/>
        <w:gridCol w:w="466"/>
        <w:gridCol w:w="109"/>
        <w:gridCol w:w="109"/>
        <w:gridCol w:w="109"/>
        <w:gridCol w:w="109"/>
        <w:gridCol w:w="181"/>
        <w:gridCol w:w="721"/>
        <w:gridCol w:w="109"/>
        <w:gridCol w:w="109"/>
        <w:gridCol w:w="109"/>
        <w:gridCol w:w="109"/>
        <w:gridCol w:w="239"/>
        <w:gridCol w:w="636"/>
        <w:gridCol w:w="146"/>
        <w:gridCol w:w="109"/>
        <w:gridCol w:w="109"/>
        <w:gridCol w:w="109"/>
        <w:gridCol w:w="181"/>
        <w:gridCol w:w="631"/>
        <w:gridCol w:w="109"/>
        <w:gridCol w:w="109"/>
        <w:gridCol w:w="109"/>
        <w:gridCol w:w="109"/>
        <w:gridCol w:w="181"/>
        <w:gridCol w:w="721"/>
        <w:gridCol w:w="109"/>
        <w:gridCol w:w="109"/>
        <w:gridCol w:w="109"/>
        <w:gridCol w:w="109"/>
        <w:gridCol w:w="244"/>
        <w:gridCol w:w="629"/>
        <w:gridCol w:w="148"/>
        <w:gridCol w:w="109"/>
        <w:gridCol w:w="109"/>
        <w:gridCol w:w="109"/>
        <w:gridCol w:w="181"/>
        <w:gridCol w:w="7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 in Excess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203,703,182 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interest rate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Rabbi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($0.09 per common share/unit)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785,700 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redeemed to satisfy withholdings on vested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(318,978)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Redemption of Operating Partnership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445,120 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204,615,024 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2,117,350 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1,448,166 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1,453,380 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90,758 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interest rate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Rabbi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($0.09 per common share/unit)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redeemed to satisfy withholdings on vested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 and retired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204,505,826 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1,523,355 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1,528,895 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3241" w:type="dxa"/>
        <w:jc w:val="center"/>
        <w:tblInd w:w="0" w:type="dxa"/>
        <w:tblLayout w:type="fixed"/>
        <w:tblCellMar>
          <w:top w:w="28" w:type="dxa"/>
          <w:left w:w="28" w:type="dxa"/>
          <w:bottom w:w="28" w:type="dxa"/>
          <w:right w:w="28" w:type="dxa"/>
        </w:tblCellMar>
      </w:tblPr>
      <w:tblGrid>
        <w:gridCol w:w="560"/>
        <w:gridCol w:w="215"/>
        <w:gridCol w:w="216"/>
        <w:gridCol w:w="360"/>
        <w:gridCol w:w="361"/>
        <w:gridCol w:w="171"/>
        <w:gridCol w:w="109"/>
        <w:gridCol w:w="109"/>
        <w:gridCol w:w="109"/>
        <w:gridCol w:w="181"/>
        <w:gridCol w:w="286"/>
        <w:gridCol w:w="109"/>
        <w:gridCol w:w="109"/>
        <w:gridCol w:w="109"/>
        <w:gridCol w:w="109"/>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239"/>
        <w:gridCol w:w="636"/>
        <w:gridCol w:w="146"/>
        <w:gridCol w:w="109"/>
        <w:gridCol w:w="109"/>
        <w:gridCol w:w="109"/>
        <w:gridCol w:w="181"/>
        <w:gridCol w:w="631"/>
        <w:gridCol w:w="109"/>
        <w:gridCol w:w="109"/>
        <w:gridCol w:w="109"/>
        <w:gridCol w:w="109"/>
        <w:gridCol w:w="181"/>
        <w:gridCol w:w="721"/>
        <w:gridCol w:w="109"/>
        <w:gridCol w:w="109"/>
        <w:gridCol w:w="109"/>
        <w:gridCol w:w="109"/>
        <w:gridCol w:w="244"/>
        <w:gridCol w:w="629"/>
        <w:gridCol w:w="148"/>
        <w:gridCol w:w="109"/>
        <w:gridCol w:w="109"/>
        <w:gridCol w:w="109"/>
        <w:gridCol w:w="181"/>
        <w:gridCol w:w="7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Distributions in Excess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207,592,210 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interest rate derivative instruments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Rabbi Trust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accumulated 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($0.08 per common share/unit)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preferred stock ($0.5156 per preferred 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1,379,495 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redeemed to satisfy withholdings on vested share 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(585,127)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 and retired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(1,413,643)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March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206,972,935 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1,573,652 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interest rate derivative instruments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Rabbi Trust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reclassified from accumulated 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common stock/units ($0.08 per common share/unit)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Distributions on preferred stock ($0.5156 per preferred 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repurchased and retired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(1,684,299)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June 30, 2025</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4,760,000 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205,375,594 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2,243,618 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(664,721)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1,584,498 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83" w:type="dxa"/>
        <w:jc w:val="center"/>
        <w:tblInd w:w="0" w:type="dxa"/>
        <w:tblLayout w:type="fixed"/>
        <w:tblCellMar>
          <w:top w:w="28" w:type="dxa"/>
          <w:left w:w="28" w:type="dxa"/>
          <w:bottom w:w="28" w:type="dxa"/>
          <w:right w:w="28" w:type="dxa"/>
        </w:tblCellMar>
      </w:tblPr>
      <w:tblGrid>
        <w:gridCol w:w="2429"/>
        <w:gridCol w:w="2138"/>
        <w:gridCol w:w="2152"/>
        <w:gridCol w:w="211"/>
        <w:gridCol w:w="826"/>
        <w:gridCol w:w="109"/>
        <w:gridCol w:w="109"/>
        <w:gridCol w:w="109"/>
        <w:gridCol w:w="109"/>
        <w:gridCol w:w="211"/>
        <w:gridCol w:w="8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hotel property,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income related to key money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to/from hotel managers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hotel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principal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common stock and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preferred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redeemed to satisfy tax withholdings on vested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w:t>
      </w:r>
    </w:p>
    <w:tbl>
      <w:tblPr>
        <w:tblW w:w="8535" w:type="dxa"/>
        <w:jc w:val="center"/>
        <w:tblInd w:w="0" w:type="dxa"/>
        <w:tblLayout w:type="fixed"/>
        <w:tblCellMar>
          <w:top w:w="28" w:type="dxa"/>
          <w:left w:w="28" w:type="dxa"/>
          <w:bottom w:w="28" w:type="dxa"/>
          <w:right w:w="28" w:type="dxa"/>
        </w:tblCellMar>
      </w:tblPr>
      <w:tblGrid>
        <w:gridCol w:w="1847"/>
        <w:gridCol w:w="1620"/>
        <w:gridCol w:w="1633"/>
        <w:gridCol w:w="211"/>
        <w:gridCol w:w="721"/>
        <w:gridCol w:w="109"/>
        <w:gridCol w:w="109"/>
        <w:gridCol w:w="109"/>
        <w:gridCol w:w="109"/>
        <w:gridCol w:w="211"/>
        <w:gridCol w:w="721"/>
        <w:gridCol w:w="109"/>
        <w:gridCol w:w="109"/>
        <w:gridCol w:w="109"/>
        <w:gridCol w:w="109"/>
        <w:gridCol w:w="109"/>
        <w:gridCol w:w="109"/>
        <w:gridCol w:w="109"/>
        <w:gridCol w:w="10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dividends and distributions declared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upon lease commencement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upon lease commencement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Operating Partnership units for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to the amount shown within the consolidated statements of cash flows:</w:t>
      </w:r>
    </w:p>
    <w:p>
      <w:pPr>
        <w:pStyle w:val="TextBody"/>
        <w:bidi w:val="0"/>
        <w:spacing w:before="0" w:after="0"/>
        <w:ind w:left="0" w:right="0" w:firstLine="495"/>
        <w:jc w:val="both"/>
        <w:rPr/>
      </w:pPr>
      <w:r>
        <w:rPr/>
      </w:r>
    </w:p>
    <w:tbl>
      <w:tblPr>
        <w:tblW w:w="7314" w:type="dxa"/>
        <w:jc w:val="center"/>
        <w:tblInd w:w="0" w:type="dxa"/>
        <w:tblLayout w:type="fixed"/>
        <w:tblCellMar>
          <w:top w:w="28" w:type="dxa"/>
          <w:left w:w="28" w:type="dxa"/>
          <w:bottom w:w="28" w:type="dxa"/>
          <w:right w:w="28" w:type="dxa"/>
        </w:tblCellMar>
      </w:tblPr>
      <w:tblGrid>
        <w:gridCol w:w="1429"/>
        <w:gridCol w:w="1254"/>
        <w:gridCol w:w="1261"/>
        <w:gridCol w:w="234"/>
        <w:gridCol w:w="919"/>
        <w:gridCol w:w="121"/>
        <w:gridCol w:w="109"/>
        <w:gridCol w:w="109"/>
        <w:gridCol w:w="109"/>
        <w:gridCol w:w="313"/>
        <w:gridCol w:w="1228"/>
        <w:gridCol w:w="228"/>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Organization</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DiamondRock Hospitality Company (the “Company” or “we”) is a lodging-focused real estate company that owns a portfolio of premium hotels and resorts. As of June 30, 2026, we owned 34 hotels with 9,400 guest rooms. Our portfolio is concentrated in major urban markets and destination resort locations. We are an owner, as opposed to an operator, of the hotels in our portfolio. As an owner, we receive all operating profits or losses generated by our hotels after we pay fees to the hotel managers and hotel brands, which are based on the revenues and profitability of the hotels. Each hotel is uniquely positioned to maximize the cash flow and value; accordingly, nearly 40% of our portfolio is operated as an independent hotel and the remainder are operated under a brand owned by one of the leading global lodging brand companies.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 real estate investment trust (“REIT”) for U.S. federal income tax purposes. We conduct our business through a traditional umbrella partnership real estate investment trust, or UPREIT, in which our hotel properties are owned by our operating partnership, DiamondRock Hospitality Limited Partnership, or subsidiaries of our operating partnership. The Company is the sole general partner of our operating partnership and owned 99.7% of the limited partnership units (“common OP units”) of our operating partnership as of June 30, 2026. The remaining 0.3% of the common OP units are held by third parties and executive officers of the Company. See Note 8 for additional disclosures related to common OP units.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and related notes have been prepared in accordance with United States Generally Accepted Accounting Principles (“U.S. GAAP”). We have condensed or omitted certain disclosures normally included in annual financial statements presented in accordance with U.S. GAAP; however, we believe the disclosures made are adequate to prevent the information presented from being misleading. These financial statements should be read in conjunction with the consolidated financial statements and notes thereto in our Annual Report on Form 10-K for the year ended December 31, 2025. In the opinion of management, all adjustments (consisting of normal recurring accruals) considered necessary for a fair statement of results for the interim periods have been included. Interim results are not necessarily indicative of full-year performance, as a result of the impact of seasonal and other short-term variations and the acquisitions and/or dispositions of hotel properties.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November 2024, the Financial Accounting Standards Board issued Accounting Standards Update ("ASU") No. 2024-03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We are currently evaluating the impact of adopting ASU 2024-03.</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Property and Equipment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6227" w:type="dxa"/>
        <w:jc w:val="left"/>
        <w:tblInd w:w="0" w:type="dxa"/>
        <w:tblLayout w:type="fixed"/>
        <w:tblCellMar>
          <w:top w:w="28" w:type="dxa"/>
          <w:left w:w="28" w:type="dxa"/>
          <w:bottom w:w="28" w:type="dxa"/>
          <w:right w:w="28" w:type="dxa"/>
        </w:tblCellMar>
      </w:tblPr>
      <w:tblGrid>
        <w:gridCol w:w="1026"/>
        <w:gridCol w:w="900"/>
        <w:gridCol w:w="909"/>
        <w:gridCol w:w="211"/>
        <w:gridCol w:w="976"/>
        <w:gridCol w:w="109"/>
        <w:gridCol w:w="109"/>
        <w:gridCol w:w="109"/>
        <w:gridCol w:w="109"/>
        <w:gridCol w:w="278"/>
        <w:gridCol w:w="1288"/>
        <w:gridCol w:w="203"/>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570,386 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site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2,877,236 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3,688,119 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(1,091,661)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2,555,487 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2,596,458 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accrued capital expenditures of $1.9 million and $2.5 million, respectively.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Hotel Dispositions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May 1, 2026, we sold the Courtyard New York Manhattan/Fifth Avenue for $33.0 million. We received net proceeds of $29.9 million from the transaction, which included customary working capital and other closing adjustments. We recognized a pre-tax gain on sale of $31.6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debt (dollars in thousands):</w:t>
      </w:r>
    </w:p>
    <w:tbl>
      <w:tblPr>
        <w:tblW w:w="10205" w:type="dxa"/>
        <w:jc w:val="center"/>
        <w:tblInd w:w="0" w:type="dxa"/>
        <w:tblLayout w:type="fixed"/>
        <w:tblCellMar>
          <w:top w:w="28" w:type="dxa"/>
          <w:left w:w="28" w:type="dxa"/>
          <w:bottom w:w="28" w:type="dxa"/>
          <w:right w:w="28" w:type="dxa"/>
        </w:tblCellMar>
      </w:tblPr>
      <w:tblGrid>
        <w:gridCol w:w="1298"/>
        <w:gridCol w:w="988"/>
        <w:gridCol w:w="961"/>
        <w:gridCol w:w="109"/>
        <w:gridCol w:w="109"/>
        <w:gridCol w:w="109"/>
        <w:gridCol w:w="468"/>
        <w:gridCol w:w="461"/>
        <w:gridCol w:w="464"/>
        <w:gridCol w:w="109"/>
        <w:gridCol w:w="109"/>
        <w:gridCol w:w="109"/>
        <w:gridCol w:w="428"/>
        <w:gridCol w:w="428"/>
        <w:gridCol w:w="430"/>
        <w:gridCol w:w="109"/>
        <w:gridCol w:w="109"/>
        <w:gridCol w:w="109"/>
        <w:gridCol w:w="211"/>
        <w:gridCol w:w="976"/>
        <w:gridCol w:w="109"/>
        <w:gridCol w:w="109"/>
        <w:gridCol w:w="109"/>
        <w:gridCol w:w="109"/>
        <w:gridCol w:w="262"/>
        <w:gridCol w:w="1217"/>
        <w:gridCol w:w="196"/>
      </w:tblGrid>
      <w:tr>
        <w:trPr/>
        <w:tc>
          <w:tcPr>
            <w:tcW w:w="12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Balance as of</w:t>
            </w:r>
          </w:p>
        </w:tc>
      </w:tr>
      <w:tr>
        <w:trPr/>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1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 xml:space="preserve">SOFR + 1.35%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2028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3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SOFR + 1.35%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2029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2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SOFR + 1.35%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January 2030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Unamortized debt issuance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Interest Rate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June 30, 2026, the interest rate on the portion of variable-rate debt subject to interest rate swaps was 4.83%, and the interest rate on the remaining variable-rate debt was 4.97%.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(2)Maturity date may be extended for two additional six-month periods upon the payment of applicable fees and the satisfaction of certain customary conditions.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(3)Excludes debt issuance costs related to our senior unsecured credit facility, which are included within Prepaid and Other Assets on the accompanying consolidated balance sheets.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(4)Includes the effect of interest rate swaps. See Note 6 for additional disclosures on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Senior Unsecured Credit Facility and Unsecured Term Loans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party to a Seventh Amended and Restated Credit Agreement (the “Credit Facility”) that provides for a $400.0 million revolving credit facility (the “Revolving Credit Facility”) and three term loan facilities in the aggregate amount of $1.1 billion. The Revolving Credit Facility matures on January 22, 2030. The term loan facilities consist of a $500.0 million term loan that matures on January 3, 2028 (the “Term 1 Loan”), a $300.0 million term loan that matures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We have the right to increase the aggregate capacity of the Amended Credit Facility to $1.8 billion upon the satisfaction of certain standard conditions. As of June 30, 2026, we had $400.0 million of borrowing capacity under the Revolving Credit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is paid on the periodic advances on the revolving credit facility and amounts outstanding on the term loans at varying rates, based upon the Secured Overnight Financing Rate (“SOFR”), as defined in the Credit Facility, plus an applicable margin. The applicable margin is based upon our leverage ratio, as follows:</w:t>
      </w:r>
    </w:p>
    <w:tbl>
      <w:tblPr>
        <w:tblW w:w="10205" w:type="dxa"/>
        <w:jc w:val="left"/>
        <w:tblInd w:w="0" w:type="dxa"/>
        <w:tblLayout w:type="fixed"/>
        <w:tblCellMar>
          <w:top w:w="28" w:type="dxa"/>
          <w:left w:w="28" w:type="dxa"/>
          <w:bottom w:w="28" w:type="dxa"/>
          <w:right w:w="28" w:type="dxa"/>
        </w:tblCellMar>
      </w:tblPr>
      <w:tblGrid>
        <w:gridCol w:w="1274"/>
        <w:gridCol w:w="1120"/>
        <w:gridCol w:w="1127"/>
        <w:gridCol w:w="109"/>
        <w:gridCol w:w="109"/>
        <w:gridCol w:w="109"/>
        <w:gridCol w:w="1052"/>
        <w:gridCol w:w="1052"/>
        <w:gridCol w:w="1055"/>
        <w:gridCol w:w="109"/>
        <w:gridCol w:w="109"/>
        <w:gridCol w:w="109"/>
        <w:gridCol w:w="839"/>
        <w:gridCol w:w="839"/>
        <w:gridCol w:w="1193"/>
      </w:tblGrid>
      <w:tr>
        <w:trPr/>
        <w:tc>
          <w:tcPr>
            <w:tcW w:w="127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Term Loans</w:t>
            </w:r>
          </w:p>
        </w:tc>
      </w:tr>
      <w:tr>
        <w:trPr/>
        <w:tc>
          <w:tcPr>
            <w:tcW w:w="3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30% but less than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35% but less than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40% but less than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45% but less than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50% but less than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3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various financial covenants. A summary of the most significant covenants is as follows:</w:t>
      </w:r>
    </w:p>
    <w:tbl>
      <w:tblPr>
        <w:tblW w:w="9702" w:type="dxa"/>
        <w:jc w:val="center"/>
        <w:tblInd w:w="0" w:type="dxa"/>
        <w:tblLayout w:type="fixed"/>
        <w:tblCellMar>
          <w:top w:w="28" w:type="dxa"/>
          <w:left w:w="28" w:type="dxa"/>
          <w:bottom w:w="28" w:type="dxa"/>
          <w:right w:w="28" w:type="dxa"/>
        </w:tblCellMar>
      </w:tblPr>
      <w:tblGrid>
        <w:gridCol w:w="1836"/>
        <w:gridCol w:w="1614"/>
        <w:gridCol w:w="1620"/>
        <w:gridCol w:w="993"/>
        <w:gridCol w:w="993"/>
        <w:gridCol w:w="999"/>
        <w:gridCol w:w="109"/>
        <w:gridCol w:w="109"/>
        <w:gridCol w:w="109"/>
        <w:gridCol w:w="385"/>
        <w:gridCol w:w="385"/>
        <w:gridCol w:w="550"/>
      </w:tblGrid>
      <w:tr>
        <w:trPr/>
        <w:tc>
          <w:tcPr>
            <w:tcW w:w="183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at</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Covenant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leverage ratio </w:t>
            </w:r>
            <w:r>
              <w:rPr>
                <w:rFonts w:ascii="Times New Roman;serif" w:hAnsi="Times New Roman;serif"/>
                <w:b w:val="false"/>
                <w:color w:val="000000"/>
                <w:sz w:val="13"/>
              </w:rPr>
              <w:t>(1)</w:t>
            </w:r>
          </w:p>
        </w:tc>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23.9%</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Minimum fixed charge coverage ratio </w:t>
            </w:r>
            <w:r>
              <w:rPr>
                <w:rFonts w:ascii="Times New Roman;serif" w:hAnsi="Times New Roman;serif"/>
                <w:b w:val="false"/>
                <w:color w:val="000000"/>
                <w:sz w:val="13"/>
              </w:rPr>
              <w:t>(2)</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4.18x</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recourse indebtedness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 of Total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unencumbered leverage ratio</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29.8%</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unencumbered implied debt service coverage ratio</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2.52x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(1)Leverage ratio is net indebtedness, as defined in the Credit Facility, divided by total asset value, defined in the Credit Facility as the value of our owned hotels based on hotel net operating income divided by a defined capitalization rate.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(2)Fixed charge coverage ratio is Adjusted EBITDA, generally defined in the Credit Facility as EBITDA less FF&amp;E reserves, for the most recent trailing 12 month period, to fixed charges, which is defined in the Credit Facility as interest expense, all regularly scheduled principal payments and payments on capitalized lease obligations, for the same 12 month period.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interest expense consist of the following (in thousands):</w:t>
      </w:r>
    </w:p>
    <w:p>
      <w:pPr>
        <w:pStyle w:val="TextBody"/>
        <w:bidi w:val="0"/>
        <w:spacing w:before="0" w:after="0"/>
        <w:ind w:left="0" w:right="0" w:firstLine="450"/>
        <w:jc w:val="both"/>
        <w:rPr/>
      </w:pPr>
      <w:r>
        <w:rPr/>
      </w:r>
    </w:p>
    <w:tbl>
      <w:tblPr>
        <w:tblW w:w="8727" w:type="dxa"/>
        <w:jc w:val="left"/>
        <w:tblInd w:w="0" w:type="dxa"/>
        <w:tblLayout w:type="fixed"/>
        <w:tblCellMar>
          <w:top w:w="28" w:type="dxa"/>
          <w:left w:w="28" w:type="dxa"/>
          <w:bottom w:w="28" w:type="dxa"/>
          <w:right w:w="28" w:type="dxa"/>
        </w:tblCellMar>
      </w:tblPr>
      <w:tblGrid>
        <w:gridCol w:w="1085"/>
        <w:gridCol w:w="955"/>
        <w:gridCol w:w="959"/>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expense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(1)Represents the interest expense associated with the ground lease on the Courtyard New York Manhattan/Fifth Avenue, which was sold on May 1, 2026.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Derivatives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the following derivatives (dollars in thousands):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1"/>
        <w:gridCol w:w="312"/>
        <w:gridCol w:w="283"/>
        <w:gridCol w:w="109"/>
        <w:gridCol w:w="109"/>
        <w:gridCol w:w="109"/>
        <w:gridCol w:w="159"/>
        <w:gridCol w:w="159"/>
        <w:gridCol w:w="163"/>
        <w:gridCol w:w="109"/>
        <w:gridCol w:w="109"/>
        <w:gridCol w:w="109"/>
        <w:gridCol w:w="233"/>
        <w:gridCol w:w="233"/>
        <w:gridCol w:w="315"/>
        <w:gridCol w:w="109"/>
        <w:gridCol w:w="109"/>
        <w:gridCol w:w="109"/>
        <w:gridCol w:w="170"/>
        <w:gridCol w:w="170"/>
        <w:gridCol w:w="171"/>
        <w:gridCol w:w="109"/>
        <w:gridCol w:w="109"/>
        <w:gridCol w:w="109"/>
        <w:gridCol w:w="286"/>
        <w:gridCol w:w="286"/>
        <w:gridCol w:w="288"/>
        <w:gridCol w:w="109"/>
        <w:gridCol w:w="109"/>
        <w:gridCol w:w="109"/>
        <w:gridCol w:w="289"/>
        <w:gridCol w:w="289"/>
        <w:gridCol w:w="290"/>
        <w:gridCol w:w="109"/>
        <w:gridCol w:w="109"/>
        <w:gridCol w:w="109"/>
        <w:gridCol w:w="209"/>
        <w:gridCol w:w="787"/>
        <w:gridCol w:w="116"/>
        <w:gridCol w:w="109"/>
        <w:gridCol w:w="109"/>
        <w:gridCol w:w="109"/>
        <w:gridCol w:w="205"/>
        <w:gridCol w:w="583"/>
        <w:gridCol w:w="114"/>
        <w:gridCol w:w="114"/>
        <w:gridCol w:w="114"/>
        <w:gridCol w:w="114"/>
        <w:gridCol w:w="264"/>
        <w:gridCol w:w="575"/>
        <w:gridCol w:w="194"/>
      </w:tblGrid>
      <w:tr>
        <w:trPr/>
        <w:tc>
          <w:tcPr>
            <w:tcW w:w="4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 (Liabilities)</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Hedged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swaps designated as cash flow hedges involve the receipt of variable-rate amounts from a counterparty in exchange for the Company making fixed-rate payments over the life of the agreements without exchange of the underlying notional amount. During the year 2026, such derivatives were used to hedge the variable cash flows associated with variable-rate debt.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location in the consolidated financial statements of the gains and losses recognized related to derivative financial instruments (in thousands):</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988"/>
        <w:gridCol w:w="683"/>
        <w:gridCol w:w="687"/>
        <w:gridCol w:w="109"/>
        <w:gridCol w:w="109"/>
        <w:gridCol w:w="109"/>
        <w:gridCol w:w="755"/>
        <w:gridCol w:w="755"/>
        <w:gridCol w:w="757"/>
        <w:gridCol w:w="109"/>
        <w:gridCol w:w="109"/>
        <w:gridCol w:w="109"/>
        <w:gridCol w:w="217"/>
        <w:gridCol w:w="636"/>
        <w:gridCol w:w="112"/>
        <w:gridCol w:w="112"/>
        <w:gridCol w:w="112"/>
        <w:gridCol w:w="112"/>
        <w:gridCol w:w="217"/>
        <w:gridCol w:w="666"/>
        <w:gridCol w:w="112"/>
        <w:gridCol w:w="109"/>
        <w:gridCol w:w="109"/>
        <w:gridCol w:w="109"/>
        <w:gridCol w:w="213"/>
        <w:gridCol w:w="622"/>
        <w:gridCol w:w="110"/>
        <w:gridCol w:w="110"/>
        <w:gridCol w:w="110"/>
        <w:gridCol w:w="110"/>
        <w:gridCol w:w="213"/>
        <w:gridCol w:w="650"/>
        <w:gridCol w:w="165"/>
      </w:tblGrid>
      <w:tr>
        <w:trPr/>
        <w:tc>
          <w:tcPr>
            <w:tcW w:w="98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Effect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Location in Statements of Operations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interest rate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for derivatives that were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next 12 months, we estimate that $1.9 million will be reclassified from other comprehensive income as a decrease to interest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certain financial assets and liabilities and other financial instruments are as follows (in thousands):</w:t>
      </w:r>
    </w:p>
    <w:p>
      <w:pPr>
        <w:pStyle w:val="TextBody"/>
        <w:bidi w:val="0"/>
        <w:spacing w:before="0" w:after="0"/>
        <w:ind w:left="0" w:right="0" w:firstLine="495"/>
        <w:jc w:val="both"/>
        <w:rPr/>
      </w:pPr>
      <w:r>
        <w:rPr/>
      </w:r>
    </w:p>
    <w:tbl>
      <w:tblPr>
        <w:tblW w:w="6721" w:type="dxa"/>
        <w:jc w:val="left"/>
        <w:tblInd w:w="0" w:type="dxa"/>
        <w:tblLayout w:type="fixed"/>
        <w:tblCellMar>
          <w:top w:w="28" w:type="dxa"/>
          <w:left w:w="28" w:type="dxa"/>
          <w:bottom w:w="28" w:type="dxa"/>
          <w:right w:w="28" w:type="dxa"/>
        </w:tblCellMar>
      </w:tblPr>
      <w:tblGrid>
        <w:gridCol w:w="185"/>
        <w:gridCol w:w="162"/>
        <w:gridCol w:w="16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color w:val="000000"/>
              </w:rPr>
              <w:t>   </w:t>
            </w:r>
            <w:r>
              <w:rPr>
                <w:rFonts w:ascii="Times New Roman;serif" w:hAnsi="Times New Roman;serif"/>
                <w:b/>
                <w:color w:val="000000"/>
                <w:sz w:val="20"/>
              </w:rPr>
              <w:t xml:space="preserve">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color w:val="000000"/>
              </w:rPr>
              <w:t>    </w:t>
            </w:r>
            <w:r>
              <w:rPr>
                <w:rFonts w:ascii="Times New Roman;serif" w:hAnsi="Times New Roman;serif"/>
                <w:b/>
                <w:color w:val="000000"/>
                <w:sz w:val="20"/>
              </w:rPr>
              <w:t xml:space="preserve">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carrying amount of debt is net of unamortized debt issuance costs.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determined that the fair value of debt and interest rate swaps are classified as Level 2 measurements within the fair value hierarchy. We estimate the fair value of the interest rate swaps based on the interest rate yield curve and implied market volatility as inputs and adjusted for the counterparty's credit risk. We concluded the inputs for the credit risk valuation adjustment are Level 3 inputs; however these inputs are not significant to the fair value measurement in its entirety.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our other financial instruments not included in the table above are estimated to be equal to their carrying amount.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Equity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authorized by our charter to issue up to 400 million shares of common stock, $0.01 par value per share. Each outstanding share of common stock entitles the holder to one vote on all matters submitted to a vote of stockholders. Holders of our common stock are entitled to receive dividends out of assets legally available for the payment of dividends when authorized by our board of directors.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board of directors approved an “at-the-market” equity offering program (the “ATM Program”), pursuant to which we may issue and sell shares of our common stock from time to time, having an aggregate offering price of up to $200.0 million. No shares were sold under the ATM Program during the six months ended June 30, 2026.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our board of directors authorized the repurchase of up to $300 million of our common stock under a new share repurchase program effective May 1, 2026 (the “Share Repurchase Program”). The Share Repurchase Program replaced our prior $200 million share repurchase program that was authorized in May 2024.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The Share Repurchase Program will expire on May 1, 2028. During the six months ended June 30, 2026, we repurchased 189,265 shares of common stock at an average price of $9.79 per share for a total purchase price of $1.9 million. During the six months ended June 30, 2025, we repurchased 3,097,942 shares of common stock at an average price of $7.64 per share for a total purchase price of $23.7 million under this program. As of July 30, 2026, we have $299.4 million of authorized capacity remaining under the Share Repurchase Program. </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Preferred Shares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by our charter to issue up to 10 million shares of preferred stock, $0.01 par value per share. Our board of directors is required to set for each class or series of preferred stock the terms, preferences, conversion or other rights, voting powers, restrictions, limitations as to dividends or other distributions, qualifications, and terms or conditions of redemption.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31, 2025, we redeemed all 4,760,000 outstanding shares of our 8.250% Series A Cumulative Redeemable Preferred Stock. As of June 30, 2026 and December 31, 2025, we had no preferred stock issued or outstanding. </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Operating Partnership Units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 of Cavallo Point, The Lodge at the Golden Gate in December 2018, we issued 796,684 common OP units to third parties, otherwise unaffiliated with the Company, then valued at $11.76 per unit. Each common OP unit is redeemable at the option of the holder. Holders of common OP units have certain redemption rights, which enable them to cause our operating partnership to redeem their units in exchange for cash per unit equal to the market price of our common stock, at the time of redemption, or, at our option, for shares of our common stock on a one-for-one basis, subject to adjustment upon the occurrence of stock splits, mergers, consolidations or similar pro-rata share transactions. As of June 30, 2026, there were 421,244 common OP units still outstanding; the other 375,440 common OP units issued in connection with the acquisition have been converted to common stock. </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Long-Term Incentive Partnership units (“LTIP units”), which are also referred to as profits interest units, may be issued to eligible participants under the 2024 Equity Incentive Plan for the performance of services to or for the benefit of our operating partnership. LTIP units are a class of partnership unit in our operating partnership and will receive, whether vested or not, the same per-unit distributions as the outstanding common OP units, which equal per-share dividends on shares of our common stock. Initially, LTIP units have a capital account balance of zero, do not receive an allocation of operating income (loss), and do not have full parity with common OP units with respect to liquidating distributions. If such parity is reached, vested LTIP units are converted into an equal number of common OP units, and thereafter will possess all of the rights and interests of common OP units, including the right to exchange the common OP units for cash per unit equal to the market price of our common stock, at the time of redemption, or, at our option, for shares of our common stock on a one-for-one basis, subject to adjustment upon the occurrence of stock splits, mergers, consolidations or similar pro-rata share transactions. See Note 9 for additional disclosures related to LTIP units.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628,734 and 1,041,362 common OP units held by third parties and executive officers of the Company as of June 30, 2026 and December 31, 2025, respectively. During the six months ended June 30, 2026, 445,120 common OP units were redeemed and converted to common stock. There were 60,926 and 93,418 unvested LTIP units outstanding as of June 30, 2026 and December 31, 2025, respectively. Subsequent to June 30, 2026, an additional 99,855 common OP units were redeemed and converted to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Dividends and Distributions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we paid the following dividends to holders of our common stock and common OP units:</w:t>
      </w:r>
    </w:p>
    <w:p>
      <w:pPr>
        <w:pStyle w:val="TextBody"/>
        <w:bidi w:val="0"/>
        <w:spacing w:before="0" w:after="0"/>
        <w:ind w:left="0" w:right="0" w:firstLine="450"/>
        <w:jc w:val="both"/>
        <w:rPr/>
      </w:pPr>
      <w:r>
        <w:rPr/>
      </w:r>
    </w:p>
    <w:tbl>
      <w:tblPr>
        <w:tblW w:w="5243" w:type="dxa"/>
        <w:jc w:val="center"/>
        <w:tblInd w:w="0" w:type="dxa"/>
        <w:tblLayout w:type="fixed"/>
        <w:tblCellMar>
          <w:top w:w="28" w:type="dxa"/>
          <w:left w:w="28" w:type="dxa"/>
          <w:bottom w:w="28" w:type="dxa"/>
          <w:right w:w="28" w:type="dxa"/>
        </w:tblCellMar>
      </w:tblPr>
      <w:tblGrid>
        <w:gridCol w:w="548"/>
        <w:gridCol w:w="482"/>
        <w:gridCol w:w="485"/>
        <w:gridCol w:w="109"/>
        <w:gridCol w:w="109"/>
        <w:gridCol w:w="109"/>
        <w:gridCol w:w="559"/>
        <w:gridCol w:w="559"/>
        <w:gridCol w:w="562"/>
        <w:gridCol w:w="109"/>
        <w:gridCol w:w="109"/>
        <w:gridCol w:w="109"/>
        <w:gridCol w:w="335"/>
        <w:gridCol w:w="813"/>
        <w:gridCol w:w="24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Dividend </w:t>
              <w:br/>
              <w:t>per Share/Unit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Equity Incentive Plans</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We are authorized to issue up to 7,900,000 shares of our common stock under our 2024 Equity Incentive Plan (the “2024 Plan”), of which we have issued or committed to</w:t>
      </w:r>
      <w:r>
        <w:rPr>
          <w:color w:val="000000"/>
          <w:shd w:fill="FFFFFF" w:val="clear"/>
        </w:rPr>
        <w:t xml:space="preserve"> </w:t>
      </w:r>
      <w:r>
        <w:rPr>
          <w:rFonts w:ascii="Times New Roman;serif" w:hAnsi="Times New Roman;serif"/>
          <w:b w:val="false"/>
          <w:color w:val="000000"/>
          <w:sz w:val="20"/>
          <w:shd w:fill="FFFFFF" w:val="clear"/>
        </w:rPr>
        <w:t xml:space="preserve">issue </w:t>
      </w:r>
      <w:r>
        <w:rPr>
          <w:rFonts w:ascii="Times New Roman;serif" w:hAnsi="Times New Roman;serif"/>
          <w:b w:val="false"/>
          <w:color w:val="000000"/>
          <w:sz w:val="20"/>
        </w:rPr>
        <w:t>4,111,013</w:t>
      </w:r>
      <w:r>
        <w:rPr>
          <w:color w:val="000000"/>
          <w:shd w:fill="FFFFFF" w:val="clear"/>
        </w:rPr>
        <w:t xml:space="preserve"> </w:t>
      </w:r>
      <w:r>
        <w:rPr>
          <w:rFonts w:ascii="Times New Roman;serif" w:hAnsi="Times New Roman;serif"/>
          <w:b w:val="false"/>
          <w:color w:val="000000"/>
          <w:sz w:val="20"/>
          <w:shd w:fill="FFFFFF" w:val="clear"/>
        </w:rPr>
        <w:t>share</w:t>
      </w:r>
      <w:r>
        <w:rPr>
          <w:rFonts w:ascii="Times New Roman;serif" w:hAnsi="Times New Roman;serif"/>
          <w:b w:val="false"/>
          <w:color w:val="000000"/>
          <w:sz w:val="20"/>
        </w:rPr>
        <w:t>s as of June 30, 2026. Shares underlying awards that are granted under the 2024 Plan that are forfeited, cancelled, reacquired prior to vesting, satisfied without the issuance of stock or otherwise terminated (other than by exercise), including shares tendered or held back upon settlement of an award, other than a stock option or stock appreciation right, to cover the tax withholding will be added back to the shares available for issuance under the 2024 Plan.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stock awards issued to our officers and employees generally vest over a three to five year period from the date of grant based on continued employment. We measure compensation expense for the restricted stock awards based upon the fair market value of our common stock at the date of grant. Compensation expense is recognized on a straight-line basis over the vesting period and is included in corporate expenses in the accompanying consolidated statements of operations and comprehensive income. A summary of our restricted stock awards from January 1, 2026 to June 30, 2026 is as follows:</w:t>
      </w:r>
    </w:p>
    <w:tbl>
      <w:tblPr>
        <w:tblW w:w="6077" w:type="dxa"/>
        <w:jc w:val="left"/>
        <w:tblInd w:w="0" w:type="dxa"/>
        <w:tblLayout w:type="fixed"/>
        <w:tblCellMar>
          <w:top w:w="28" w:type="dxa"/>
          <w:left w:w="28" w:type="dxa"/>
          <w:bottom w:w="28" w:type="dxa"/>
          <w:right w:w="28" w:type="dxa"/>
        </w:tblCellMar>
      </w:tblPr>
      <w:tblGrid>
        <w:gridCol w:w="1119"/>
        <w:gridCol w:w="983"/>
        <w:gridCol w:w="987"/>
        <w:gridCol w:w="449"/>
        <w:gridCol w:w="451"/>
        <w:gridCol w:w="336"/>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841,105 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(416,949)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June 30, 2026</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889,740 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unvested restricted stock awards as of June 30, 2026 are expected to vest as follows: 7,986 during 2026, 416,063 during 2027, 313,957 during 2028, and 151,734 during 2029. As of June 30, 2026, the unrecognized compensation cost related to restricted stock awards was $6.8 million and the weighted-average period over which the unrecognized compensation expense will be recorded is approximately 26 months. We recorded $1.1 million and $2.0 million of compensation expense related to restricted stock awards for the three and six months ended June 30, 2026, respectively. We recorded $0.8 million and $1.5 million of compensation expense related to restricted stock awards for the three and six months ended June 30, 2025, respectively.</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Performance Stock Units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stock units (“PSUs”) are restricted stock units that generally vest three years from the date of grant. Each executive officer is granted a target number of PSUs (the “PSU Target Award”). For PSUs granted in 2025 and 2026, the actual number of shares of common stock issued to each executive officer is based on the Company's achievement of certain levels of total stockholder return relative to the total stockholder return of a peer group of publicly-traded lodging REITs measured over a three-year performance period. There is no payout of shares of our common stock if our total stockholder return falls below the 30th percentile of the total stockholder returns of the peer group. The maximum number of shares of common stock issued to an executive officer is equal to 300% of the PSU Target Award and is earned if our total stockholder return is equal to or greater than the 90th percentile of the total stockholder returns of the peer group. There are limitations on the number of PSUs earned if the Company's total stockholder return is negative for the performance period.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measure compensation expense for the PSUs based upon the fair market value of the award at the grant date. Compensation expense is recognized on a straight-line basis over the vesting period and is included in corporate expenses in the accompanying consolidated statements of operations and comprehensive income. The grant date fair value is determined using a Monte Carlo simulation performed by a third-party valuation firm. The determination of the grant-date fair values of our outstanding PSUs as of June 30, 2026 included the following assumptions:</w:t>
      </w:r>
    </w:p>
    <w:tbl>
      <w:tblPr>
        <w:tblW w:w="10205" w:type="dxa"/>
        <w:jc w:val="center"/>
        <w:tblInd w:w="0" w:type="dxa"/>
        <w:tblLayout w:type="fixed"/>
        <w:tblCellMar>
          <w:top w:w="28" w:type="dxa"/>
          <w:left w:w="28" w:type="dxa"/>
          <w:bottom w:w="28" w:type="dxa"/>
          <w:right w:w="28" w:type="dxa"/>
        </w:tblCellMar>
      </w:tblPr>
      <w:tblGrid>
        <w:gridCol w:w="584"/>
        <w:gridCol w:w="513"/>
        <w:gridCol w:w="515"/>
        <w:gridCol w:w="109"/>
        <w:gridCol w:w="109"/>
        <w:gridCol w:w="109"/>
        <w:gridCol w:w="305"/>
        <w:gridCol w:w="305"/>
        <w:gridCol w:w="306"/>
        <w:gridCol w:w="109"/>
        <w:gridCol w:w="109"/>
        <w:gridCol w:w="109"/>
        <w:gridCol w:w="444"/>
        <w:gridCol w:w="444"/>
        <w:gridCol w:w="446"/>
        <w:gridCol w:w="109"/>
        <w:gridCol w:w="109"/>
        <w:gridCol w:w="109"/>
        <w:gridCol w:w="877"/>
        <w:gridCol w:w="877"/>
        <w:gridCol w:w="879"/>
        <w:gridCol w:w="109"/>
        <w:gridCol w:w="109"/>
        <w:gridCol w:w="109"/>
        <w:gridCol w:w="700"/>
        <w:gridCol w:w="700"/>
        <w:gridCol w:w="1002"/>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 Return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Hotel Market Share PSUs </w:t>
            </w:r>
            <w:r>
              <w:rPr>
                <w:rFonts w:ascii="Times New Roman;serif" w:hAnsi="Times New Roman;serif"/>
                <w:b/>
                <w:color w:val="000000"/>
                <w:sz w:val="13"/>
              </w:rPr>
              <w:t>(1)</w:t>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$9.32</w:t>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(1)There were no hotel market share PSUs granted in 2025 and 2026.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our PSUs from January 1, 2026 to June 30, 2026 is as follows:</w:t>
      </w:r>
    </w:p>
    <w:tbl>
      <w:tblPr>
        <w:tblW w:w="6208" w:type="dxa"/>
        <w:jc w:val="center"/>
        <w:tblInd w:w="0" w:type="dxa"/>
        <w:tblLayout w:type="fixed"/>
        <w:tblCellMar>
          <w:top w:w="28" w:type="dxa"/>
          <w:left w:w="28" w:type="dxa"/>
          <w:bottom w:w="28" w:type="dxa"/>
          <w:right w:w="28" w:type="dxa"/>
        </w:tblCellMar>
      </w:tblPr>
      <w:tblGrid>
        <w:gridCol w:w="1119"/>
        <w:gridCol w:w="983"/>
        <w:gridCol w:w="987"/>
        <w:gridCol w:w="488"/>
        <w:gridCol w:w="488"/>
        <w:gridCol w:w="391"/>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Target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1,467,411 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501,598 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units from dividends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1,594,789 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number of shares of common stock earned for the PSUs vested in 2026 was equal to 102.21% of the PSU Target Award.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unvested PSUs as of June 30, 2026 are expected to vest as follows: 439,827 during 2027, 645,264 during 2028, and 509,698 during 2029. The number of shares earned upon vesting is subject to the attainment of the performance targets described above. As of June 30, 2026, the unrecognized compensation cost related to the PSUs was $8.4 million and is expected to be recognized on a straight-line basis over a weighted average period of 26 months. We recorded $1.1 million and $1.8 million of compensation expense related to the PSUs for the three and six months ended June 30, 2026. We recorded $0.8 million and $1.3 million of compensation expense related to the PSUs for the three and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LTIP Units</w:t>
      </w:r>
    </w:p>
    <w:p>
      <w:pPr>
        <w:pStyle w:val="TextBody"/>
        <w:bidi w:val="0"/>
        <w:spacing w:before="0" w:after="0"/>
        <w:jc w:val="both"/>
        <w:rPr/>
      </w:pPr>
      <w:r>
        <w:rPr/>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LTIP units are designed to offer executives a long-term incentive comparable to restricted stock, while potentially allowing them a more favorable income tax treatment. Each year, executives have the option to elect to receive their annual grant of share-based compensation as either LTIP units or restricted stock awards. Each LTIP unit awarded is deemed equivalent to an award of one share of common stock reserved under the 2016 Plan or 2024 Plan, as applicable. At the time of award, LTIP units do not have full economic parity with common OP units, but can achieve such parity over time upon the occurrence of specified events in accordance with partnership tax rules.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our LTIP units from January 1, 2026 to June 30, 2026 is as follows:</w:t>
      </w:r>
    </w:p>
    <w:tbl>
      <w:tblPr>
        <w:tblW w:w="6325" w:type="dxa"/>
        <w:jc w:val="center"/>
        <w:tblInd w:w="0" w:type="dxa"/>
        <w:tblLayout w:type="fixed"/>
        <w:tblCellMar>
          <w:top w:w="28" w:type="dxa"/>
          <w:left w:w="28" w:type="dxa"/>
          <w:bottom w:w="28" w:type="dxa"/>
          <w:right w:w="28" w:type="dxa"/>
        </w:tblCellMar>
      </w:tblPr>
      <w:tblGrid>
        <w:gridCol w:w="1119"/>
        <w:gridCol w:w="983"/>
        <w:gridCol w:w="987"/>
        <w:gridCol w:w="494"/>
        <w:gridCol w:w="494"/>
        <w:gridCol w:w="496"/>
        <w:gridCol w:w="109"/>
        <w:gridCol w:w="109"/>
        <w:gridCol w:w="109"/>
        <w:gridCol w:w="342"/>
        <w:gridCol w:w="831"/>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w:t>
              <w:br/>
              <w:t>Value</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2026</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June 30, 2026</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60,926 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(1)As of June 30, 2026, all vested LTIP units have achieved economic parity with common OP units and have been converted to common OP units.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unvested LTIP units as of June 30, 2026 are expected to vest as follows: 14,217 during 2026 and 46,709 during 2027. As of June 30, 2026, the unrecognized compensation cost related to LTIP unit awards was $0.3 million and the weighted-average period over which the unrecognized compensation expense will be recorded is approximately 10 months. We recorded $0.1 million and $0.2 million of compensation expense related to LTIP unit awards for both the three and six months ended June 30, 2026 and 2025, respectively.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Nonemployee Director Awards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issue each nonemployee director either (i) fully vested, unrestricted shares of common stock or (ii) Deferred Stock Units (as defined in the 2024 Plan) granting a number of immediately vested but deferred stock units (together, the “nonemployee director awards”). We measure compensation expense for the nonemployee director awards based upon the fair market value of our common stock at the date of grant. Compensation expense is recognized in the period the nonemployee director awards are granted and is included in corporate expenses in the accompanying consolidated statements of operations and comprehensive income.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granted a total of 75,271 nonemployee director awards at a grant date fair value of $10.23. We recorded $0.8 million of compensation expense related to nonemployee director awards for the three and six months ended June 30, 2026. We recorded $0.9 million of compensation expense related to nonemployee director awards for the three and six months ended June 30, 2025.</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calculation of basic and diluted earnings per share (“EPS”):</w:t>
      </w:r>
    </w:p>
    <w:tbl>
      <w:tblPr>
        <w:tblW w:w="10205" w:type="dxa"/>
        <w:jc w:val="center"/>
        <w:tblInd w:w="0" w:type="dxa"/>
        <w:tblLayout w:type="fixed"/>
        <w:tblCellMar>
          <w:top w:w="28" w:type="dxa"/>
          <w:left w:w="28" w:type="dxa"/>
          <w:bottom w:w="28" w:type="dxa"/>
          <w:right w:w="28" w:type="dxa"/>
        </w:tblCellMar>
      </w:tblPr>
      <w:tblGrid>
        <w:gridCol w:w="1552"/>
        <w:gridCol w:w="1203"/>
        <w:gridCol w:w="1216"/>
        <w:gridCol w:w="268"/>
        <w:gridCol w:w="918"/>
        <w:gridCol w:w="114"/>
        <w:gridCol w:w="114"/>
        <w:gridCol w:w="114"/>
        <w:gridCol w:w="114"/>
        <w:gridCol w:w="268"/>
        <w:gridCol w:w="918"/>
        <w:gridCol w:w="114"/>
        <w:gridCol w:w="109"/>
        <w:gridCol w:w="109"/>
        <w:gridCol w:w="109"/>
        <w:gridCol w:w="241"/>
        <w:gridCol w:w="945"/>
        <w:gridCol w:w="109"/>
        <w:gridCol w:w="109"/>
        <w:gridCol w:w="109"/>
        <w:gridCol w:w="109"/>
        <w:gridCol w:w="268"/>
        <w:gridCol w:w="918"/>
        <w:gridCol w:w="157"/>
      </w:tblGrid>
      <w:tr>
        <w:trPr/>
        <w:tc>
          <w:tcPr>
            <w:tcW w:w="15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(in thousands)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71"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205,081,651 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206,804,961 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204,772,118 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207,652,548 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related to unvested PSUs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206,096,952 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207,916,308 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205,897,593 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209,161,359 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available to common stockholders—diluted</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OP units held by the noncontrolling interest holders have been excluded from the denominator of the basic and diluted EPS calculation as there would be no effect on the amounts since the common OP units' share of income or loss would also be added or subtracted to derive net income available to common stockholders.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We have one reportable segment, which is hotel ownership. The hotel ownership segment is mostly comprised of upper upscale and luxury chain scale hotels that offer hotel rooms, food and beverage and other ancillary guest services. The Company’s chief operating decision maker (“CODM”) is the Executive Committee which includes: 1) the Chief Executive Officer, 2) the President and Chief Operating Officer, 3) the Executive Vice President, Chief Financial Officer &amp; Treasurer, and 4) the Senior Vice President, General Counsel &amp; Corporate Secretary.</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evaluates the hotel ownership segment primarily based on hotel adjusted earnings (loss) before interest income and expense, taxes and depreciation and amortization (“Hotel Adjusted EBITDA”). The CODM uses Hotel Adjusted EBITDA to evaluate the ongoing operational performance of our hotels and effectiveness of the third-party management companies operating our business on a property-level basis, in order to make informed decisions on how to allocate resources. Hotel Adjusted EBITDA is also used to monitor budget versus actual results. The monitoring of budgeted versus actual results is used in assessing performance of the segment and in establishing management’s compensation. Hotel Adjusted EBITDA, presented herein, is calculated as EBITDA from hotel operations, adjusted to exclude the following items that are not reflective of our ongoing operating performance or incurred in the normal course of business, and thus excluded from the CODM’s analysis in making day-to-day operating decisions: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Non-cash lease expense and other amortization</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Cumulative effect of a change in accounting principles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Gains or losses from debt extinguishment</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Hotel acquisition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Severance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 xml:space="preserve">Hotel manager transition items </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Hotel pre-opening costs</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Impairment losses, gains or losses on asset sales and casualty gains or losses; and</w:t>
      </w:r>
    </w:p>
    <w:p>
      <w:pPr>
        <w:pStyle w:val="TextBody"/>
        <w:bidi w:val="0"/>
        <w:spacing w:lineRule="auto" w:line="288" w:before="0" w:after="0"/>
        <w:ind w:left="0" w:right="0" w:firstLine="450"/>
        <w:jc w:val="both"/>
        <w:rPr/>
      </w:pPr>
      <w:r>
        <w:rPr>
          <w:color w:val="000000"/>
        </w:rPr>
        <w:t>▪</w:t>
      </w:r>
      <w:r>
        <w:rPr>
          <w:rFonts w:ascii="Times New Roman;serif" w:hAnsi="Times New Roman;serif"/>
          <w:b w:val="false"/>
          <w:color w:val="000000"/>
          <w:sz w:val="20"/>
        </w:rPr>
        <w:t>Other items that we believe are not representative of our current or future operating performance.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for our hotel ownership segment reconciled to our consolidated amounts and Hotel Adjusted EBITDA reconciled to consolidated net income (in thousands):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9604" w:type="dxa"/>
        <w:jc w:val="left"/>
        <w:tblInd w:w="0" w:type="dxa"/>
        <w:tblLayout w:type="fixed"/>
        <w:tblCellMar>
          <w:top w:w="28" w:type="dxa"/>
          <w:left w:w="28" w:type="dxa"/>
          <w:bottom w:w="28" w:type="dxa"/>
          <w:right w:w="28" w:type="dxa"/>
        </w:tblCellMar>
      </w:tblPr>
      <w:tblGrid>
        <w:gridCol w:w="1445"/>
        <w:gridCol w:w="1268"/>
        <w:gridCol w:w="1277"/>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ownership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expenses: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expenses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expenses: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hotel expenses</w:t>
            </w:r>
            <w:r>
              <w:rPr>
                <w:rFonts w:ascii="Times New Roman;serif" w:hAnsi="Times New Roman;serif"/>
                <w:b w:val="false"/>
                <w:color w:val="000000"/>
                <w:sz w:val="13"/>
              </w:rPr>
              <w:t>(1)</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Adjusted EBITDA:</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and manager transition items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hotel,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(1)Other hotel expenses is principally comprised of cash payments for leases and property insurance. </w:t>
      </w:r>
    </w:p>
    <w:p>
      <w:pPr>
        <w:pStyle w:val="TextBody"/>
        <w:bidi w:val="0"/>
        <w:spacing w:before="60" w:after="283"/>
        <w:jc w:val="both"/>
        <w:rPr/>
      </w:pPr>
      <w:r>
        <w:rPr/>
      </w:r>
    </w:p>
    <w:p>
      <w:pPr>
        <w:pStyle w:val="TextBody"/>
        <w:bidi w:val="0"/>
        <w:spacing w:lineRule="auto" w:line="25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for our hotel ownership segment, reconciled to total consolidated assets (in thousands):</w:t>
      </w:r>
    </w:p>
    <w:p>
      <w:pPr>
        <w:pStyle w:val="TextBody"/>
        <w:bidi w:val="0"/>
        <w:spacing w:before="0" w:after="0"/>
        <w:ind w:left="0" w:right="0" w:firstLine="450"/>
        <w:jc w:val="left"/>
        <w:rPr/>
      </w:pPr>
      <w:r>
        <w:rPr/>
      </w:r>
    </w:p>
    <w:tbl>
      <w:tblPr>
        <w:tblW w:w="4847" w:type="dxa"/>
        <w:jc w:val="center"/>
        <w:tblInd w:w="0" w:type="dxa"/>
        <w:tblLayout w:type="fixed"/>
        <w:tblCellMar>
          <w:top w:w="28" w:type="dxa"/>
          <w:left w:w="28" w:type="dxa"/>
          <w:bottom w:w="28" w:type="dxa"/>
          <w:right w:w="28" w:type="dxa"/>
        </w:tblCellMar>
      </w:tblPr>
      <w:tblGrid>
        <w:gridCol w:w="527"/>
        <w:gridCol w:w="463"/>
        <w:gridCol w:w="465"/>
        <w:gridCol w:w="211"/>
        <w:gridCol w:w="976"/>
        <w:gridCol w:w="109"/>
        <w:gridCol w:w="109"/>
        <w:gridCol w:w="109"/>
        <w:gridCol w:w="109"/>
        <w:gridCol w:w="278"/>
        <w:gridCol w:w="1288"/>
        <w:gridCol w:w="203"/>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ownership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2,908,811 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3,003,701 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5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expenditures related to our hotel ownership segment were $18.4 million and $37.0 million for the three and six months ended June 30, 2026, respectively. Total capital expenditures related to our hotel ownership segment were $15.7 million and $41.3 million for the three and six months ended June 30,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various claims, lawsuits and legal proceedings, including routine litigation arising in the ordinary course of business regarding the operation of our hotels and other Company matters. While it is not possible to ascertain the ultimate outcome of such matters, management believes that the aggregate amount of such liabilities, if any, in excess of amounts covered by insurance will not have a material adverse impact on our financial condition or results of operations and comprehensive income. The outcome of claims, lawsuits and legal proceedings brought against the Company, however, is subject to significant uncertainties.</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This report contains certain forward-looking statements within the meaning of Section 27A of the Securities Act of 1933, as amended, and Section 21E of the Securities Exchange Act of 1934, as amended (the “Exchange Act”).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These forward-looking statements are generally identifiable by use of the words “will,” “believe,” “expect,” “intend,” “anticipate,” “estimate,” “project” or similar expressions, whether in the negative or affirmative. Forward-looking statements are based on management’s current expectations and assumptions and are not guarantees of future performance. Factors that may cause actual results to differ materially from current expectations include, but are not limited to, the risks discussed herein and the risk factors discussed from time to time in our periodic filings with the Securities and Exchange Commission, including in Part I, Item 1A “Risk Factors” of our Annual Report on Form 10-K for the year ended December 31, 2025 as updated by our subsequent Quarterly Reports on Form 10-Q and Current Reports on Form 8-K. Accordingly, there is no assurance that the Company’s expectations will be realized. Except as otherwise required by the federal securities laws, the Company disclaims any obligations or undertaking to publicly release any updates or revisions to any forward-looking statement contained in this report to reflect events, circumstances or changes in expectations after the date of this report.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Some of the risks and uncertainties that may cause our actual results, performance or achievements to differ materially from those expressed or implied by forward-looking statements include, among others, the following:</w:t>
      </w:r>
    </w:p>
    <w:p>
      <w:pPr>
        <w:pStyle w:val="TextBody"/>
        <w:bidi w:val="0"/>
        <w:spacing w:before="0" w:after="0"/>
        <w:ind w:left="0" w:right="0" w:firstLine="45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negative developments in the economy, including, but not limited to elevated interest rates and costs due to recent inflation, job loss or growth trends, an increase in unemployment, other macroeconomic effects due to global instability or conflict or a decrease in corporate earnings and investment;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increased competition in the lodging industry and from alternative lodging channels or third party internet intermediaries in the markets in which we own properties;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failure to effectively execute our long-term business strategy and successfully identify and complete acquisitions and dispositions;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and uncertainties affecting hotel management, operations and renovations (including, without limitation, elevated inflation, construction delays, increased construction costs, disruption in hotel operations and the risks associated with our management and franchise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the availability and terms of financing and the use of debt to fund acquisitions and renovations or refinance existing indebtedness, including the impact of higher interest rates on the cost and/or availability of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level of indebtedness and our ability to satisfy our obligations under our debt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the lodging industry overall, including, without limitation, decreases in the frequency of travel and increases in operating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and uncertainties associated with our obligations under our management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natural disasters and other unforeseen catastrophic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adverse impact of any future pandemic, epidemic or outbreak of any highly infectious disease on the U.S., regional and global economies, travel, the hospitality industry, and on our financial condition and results of operations and our hotels;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costs of compliance with government regulations, including, without limitation, the Americans with Disabilities 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potential liability for uninsured losses and environmental contamination;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security breaches through cyber-attacks or otherwise, as well as other significant disruptions of our and our hotel managers’ information technologies and systems, which support our operations and those of our hotel managers;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potential failure to maintain our qualification as a real estate investment trust (“REIT”) under the Internal Revenue Code of 1986, as amended (the “Code”);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possible adverse changes in tax and environmental laws;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our dependence on key personnel whose continued service is not guaranteed.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DiamondRock Hospitality Company is a self-managed and self-administered lodging-focused REIT that owns a portfolio of premium hotels and resorts. As of June 30, 2026, we owned a portfolio of 34 premium hotels and resorts that contain 9,400 guest rooms located in 26 different markets in the United States. The markets that we target for ownership are those that we believe align with our strategic objectives, which include those in destination markets with constrained supply trends, those that provide geographic diversity relative to our existing portfolio, and those we consider to have high demand growth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hotel is positioned to maximize its cash flow and value; accordingly, we choose to operate nearly 40% of our portfolio as independent hotels, with the remainder operating under a brand owned by one of the leading global lodging brand companies.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business is to acquire, own, renovate and asset manage premium hotel properties in the United States. All of our hotels are managed by a third party, either an independent operator or a brand operator, such as Marriott. We are an owner, as opposed to an operator, of the hotels in our portfolio. As an owner, we receive all operating profits or losses generated by our hotels after we pay fees to the hotel managers, which are based on the revenues and profitability of the hotels, and the hotel brands, in the case of franchised hotels, which are based on the revenues of the hotels.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strategy is to apply aggressive asset management, prudent financial strategy, and disciplined capital allocation to high quality lodging properties in U.S. urban and resort markets with superior growth prospects and high barriers-to-entry. Our goal is to drive long-term stockholder returns that exceed those generated by our peers by growing free cash flow per share through disciplined capital allocation, including reinvestment in our portfolio and capital recycling, while returning capital through share repurchases and dividends.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critically evaluate each of our hotels to ensure that we own a portfolio of hotels that conforms to our vision, supports our mission and corresponds with our strategy. On a regular basis, we analyze our portfolio to identify opportunities to invest capital in certain projects or market non-core assets for sale to increase our portfolio quality. We are committed to a conservative capital structure with prudent leverage. We regularly assess the availability and affordability of capital in order to maximize stockholder value and minimize enterprise risk. In addition, we are committed to following sound corporate governance practices and to being open and transparent in our communications with our stockholders.</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Our Revenues and Expenses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hotel operations, including but not limited to, rooms revenue, food and beverage revenue and other operating revenue, which consists of parking, spa, resort fees, other guest services, and tenant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costs and expenses consist of the costs to provide hotel services, including rooms expense, food and beverage expense, other departmental and support expenses, management and franchise fees, and other property-level expenses. Rooms expense includes housekeeping and front office wages and payroll taxes, room supplies, laundry services and other costs. Food and beverage expense includes the cost of food, beverages, and associated labor costs. Other departmental and support expenses include labor and other costs associated with the other operating department revenue, as well as labor and other costs associated with administrative departments, sales and marketing, information technology systems, repairs and maintenance and utility costs. Our hotels that are subject to franchise agreements are charged a royalty fee, plus additional fees for marketing, central reservation systems and other franchisor costs, in order for the hotel properties to operate under the respective brands. Franchise fees are based on a percentage of room revenue, and for certain hotels, additional franchise fees are charged for food and beverage revenue. We enter into management agreements with independent third-party management companies to operate our hotels. The management companies typically earn base and incentive management fees based on the levels of revenues and profitability of each individual hotel. Other property-level expenses include property taxes, insurance, ground lease expense, and other fixed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Indicators of Financial Condition and Operating Performance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a variety of operating and other information to evaluate the financial condition and operating performance of our business. These key indicators include financial information that is prepared in accordance with U.S. Generally Accepted Accounting Principles (“U.S. GAAP”), as well as other financial information that is not prepared in accordance with U.S. GAAP. In addition, we use other information that may not be financial in nature, including statistical information and comparative data. We use this information to measure the performance of individual hotels, groups of hotels and/or our business as a whole. We periodically compare historical information to our internal budgets as well as industry-wide information. These key indicators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Occupancy percentage;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Daily Rate (“ADR”);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Rooms Revenue per Available Room (“RevPAR”);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 per Available Room (“Total RevPAR”);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Earnings Before Interest, Income Taxes, Depreciation and Amortization (“EBITDA”), Earnings Before Interest, Income Taxes, Depreciation and Amortization for real estate (“EBITDA</w:t>
      </w:r>
      <w:r>
        <w:rPr>
          <w:rFonts w:ascii="Times New Roman;serif" w:hAnsi="Times New Roman;serif"/>
          <w:b w:val="false"/>
          <w:i/>
          <w:color w:val="000000"/>
          <w:sz w:val="20"/>
        </w:rPr>
        <w:t>re</w:t>
      </w:r>
      <w:r>
        <w:rPr>
          <w:color w:val="000000"/>
        </w:rPr>
        <w:t>”</w:t>
      </w:r>
      <w:r>
        <w:rPr>
          <w:rFonts w:ascii="Times New Roman;serif" w:hAnsi="Times New Roman;serif"/>
          <w:b w:val="false"/>
          <w:i/>
          <w:color w:val="000000"/>
          <w:sz w:val="20"/>
        </w:rPr>
        <w:t>)</w:t>
      </w:r>
      <w:r>
        <w:rPr>
          <w:rFonts w:ascii="Times New Roman;serif" w:hAnsi="Times New Roman;serif"/>
          <w:b w:val="false"/>
          <w:color w:val="000000"/>
          <w:sz w:val="20"/>
        </w:rPr>
        <w:t>, Adjusted EBITDA, and Hotel Adjusted EBITDA;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Funds From Operations (“FFO”) and Adjusted FFO.</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Occupancy, ADR, RevPAR, and Total RevPAR are commonly used measures within the hotel industry to evaluate operating performance. RevPAR, which is calculated as the product of ADR and occupancy percentage, and Total RevPAR, which is calculated as total revenues divided by room nights available, are important statistics for monitoring operating performance at the individual hotel level and across our portfolio. We evaluate individual hotel RevPAR and Total RevPAR performance on an absolute basis with comparisons to budget and prior periods, as well as on a company-wide and regional basis. Room revenue comprised approximately 64% of our total revenues for the six months ended June 30, 2026 and is dictated by demand, as measured by occupancy percentage, pricing, as measured by ADR, and our available supply of hotel rooms.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ADR, occupancy percentage, RevPAR, and Total RevPAR performance may be impacted by macroeconomic factors such as U.S. economic conditions generally, inflation, interest rates, tariffs, regional and local employment growth, personal income and corporate earnings, office vacancy rates and business relocation decisions, airport and other business and leisure travel, increased use of lodging alternatives, new hotel construction and the pricing strategies of our competitors. In addition, our ADR, occupancy percentage, RevPAR, and Total RevPAR performance is dependent on the continued success of our hotels' global brands and our hotel operators.</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We also use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as measures of the financial performance of our business. See “Non-GAAP Financial Measures” for further discussion on these financial measures.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outlook for the remainder of 2026 remains subject to economic, geopolitical and market uncertainty, including evolving conditions in the Middle East, inflationary pressures, labor market conditions and uncertainty regarding the timing and magnitude of future interest rate changes. Travel demand remained strong through the first half of 2026, contributing to growth in occupancy, ADR and hotel revenues across many of our markets. While performance varied by property and customer segment, lodging fundamentals remained favorable and supported continued growth in operating results. We continue to monitor the potential favorable or unfavorable impacts of these and other factors on our business, operations, financial condition, future results of operations and cash flow, which remain dependent on future developments and subject to the risk factors discussed in our Annual Report on Form 10-K for the year ended December 31, 2025 and this Quarterly Report on Form 10-Q for the quarter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Hotels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certain operating information for the six months ended June 30, 2026 for each of our hotels owned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6"/>
        <w:gridCol w:w="339"/>
        <w:gridCol w:w="342"/>
        <w:gridCol w:w="109"/>
        <w:gridCol w:w="109"/>
        <w:gridCol w:w="109"/>
        <w:gridCol w:w="513"/>
        <w:gridCol w:w="268"/>
        <w:gridCol w:w="269"/>
        <w:gridCol w:w="109"/>
        <w:gridCol w:w="109"/>
        <w:gridCol w:w="109"/>
        <w:gridCol w:w="294"/>
        <w:gridCol w:w="263"/>
        <w:gridCol w:w="233"/>
        <w:gridCol w:w="109"/>
        <w:gridCol w:w="109"/>
        <w:gridCol w:w="109"/>
        <w:gridCol w:w="250"/>
        <w:gridCol w:w="220"/>
        <w:gridCol w:w="488"/>
        <w:gridCol w:w="109"/>
        <w:gridCol w:w="109"/>
        <w:gridCol w:w="109"/>
        <w:gridCol w:w="196"/>
        <w:gridCol w:w="646"/>
        <w:gridCol w:w="109"/>
        <w:gridCol w:w="109"/>
        <w:gridCol w:w="109"/>
        <w:gridCol w:w="109"/>
        <w:gridCol w:w="196"/>
        <w:gridCol w:w="647"/>
        <w:gridCol w:w="109"/>
        <w:gridCol w:w="109"/>
        <w:gridCol w:w="109"/>
        <w:gridCol w:w="109"/>
        <w:gridCol w:w="199"/>
        <w:gridCol w:w="658"/>
        <w:gridCol w:w="111"/>
        <w:gridCol w:w="109"/>
        <w:gridCol w:w="109"/>
        <w:gridCol w:w="109"/>
        <w:gridCol w:w="289"/>
        <w:gridCol w:w="207"/>
        <w:gridCol w:w="554"/>
      </w:tblGrid>
      <w:tr>
        <w:trPr/>
        <w:tc>
          <w:tcPr>
            <w:tcW w:w="51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from 2025 Total RevPAR</w:t>
            </w:r>
          </w:p>
        </w:tc>
      </w:tr>
      <w:tr>
        <w:trPr/>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Westin Boston Seaport District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Boston,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Salt Lake City Marriott Downtown at City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Salt Lake City,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Worthington Renaissance Fort Worth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Worth,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Westin San Diego Bayview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Diego,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Westin Fort Lauderdale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Boston, 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Hythe Vail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Vail,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Atlanta,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Gwen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Embassy Suites by Hilton Bethesda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Bethesda,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Destin,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Minneapolis, 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Champlain Burlington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Burlington, Vermont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Palomar Phoenix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Phoenix,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Bourbon Orleans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Hotel Clio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Denver, 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Courtyard New York Manhattan/Fifth Avenue</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York, 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de Sedona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Sedona,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Margaritaville Beach House Key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Key West,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The Lodge at Sonoma Resort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Sonoma,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Courtyard Denver Downtown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Denver, 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Lindy Renaissance Charleston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Charleston, 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Kimpton Shorebreak Huntington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Beach,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Cavallo Point, The Lodge at the Golden Gate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Sausalito,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Pray, 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Havana Cabana Key West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Key West,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Tranquility Bay Beachfront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Marathon,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Hotel Emblem San Francisco</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Francisco,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Kimpton Shorebreak Fort Lauderdale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The Landing Lake Tahoe Resort &amp; Spa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Lake Tahoe,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Park Inn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Destin,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(1)The hotel was sold on May 1, 2026. The percentage change from 2025 RevPAR reflects the comparable period in 2025 to our 2026 ownership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properties owned during the periods presented have been included in our results of operations during the respective periods since their date of acquisition or through their date of disposition, as applicable. The operating results are not directly comparable for the three months ended June 30, 2026 and 2025 due to the sale of The Westin Washington, D.C. City Center on February 19, 2025 (the “2025 Disposition”) and the sale of Courtyard New York Manhattan/Fifth Avenue on May 1, 2026 (the “2026 Disposition”).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Comparison of the Three Months Ended June 30, 2026 to the Three Months Ended June 30, 2025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Revenue</w:t>
      </w:r>
      <w:r>
        <w:rPr>
          <w:rFonts w:ascii="Times New Roman;serif" w:hAnsi="Times New Roman;serif"/>
          <w:b w:val="false"/>
          <w:color w:val="000000"/>
          <w:sz w:val="20"/>
        </w:rPr>
        <w:t xml:space="preserve">. Revenue consists of the following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6705" w:type="dxa"/>
        <w:jc w:val="center"/>
        <w:tblInd w:w="0" w:type="dxa"/>
        <w:tblLayout w:type="fixed"/>
        <w:tblCellMar>
          <w:top w:w="28" w:type="dxa"/>
          <w:left w:w="28" w:type="dxa"/>
          <w:bottom w:w="28" w:type="dxa"/>
          <w:right w:w="28" w:type="dxa"/>
        </w:tblCellMar>
      </w:tblPr>
      <w:tblGrid>
        <w:gridCol w:w="601"/>
        <w:gridCol w:w="529"/>
        <w:gridCol w:w="535"/>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203"/>
        <w:gridCol w:w="203"/>
        <w:gridCol w:w="316"/>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Rooms revenues increased by $9.4 million from the three months ended June 30, 2025 to the three months ended June 30, 2026. Excluding a decrease of $3.8 million due to our 2026 Disposition, room revenues increased $13.2 million driven primarily by an increase in ADR, as well as higher occupancy at L'Auberge de Sedona following the repositioning of the hotel in the third quarter of 2025.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key hotel operating statistics for the three months ended June 30, 2026 and 2025. The operating statistics for the three months ended June 30, 2025 reflect the comparable period in 2025 to our 2026 ownership period.</w:t>
      </w:r>
    </w:p>
    <w:tbl>
      <w:tblPr>
        <w:tblW w:w="5401" w:type="dxa"/>
        <w:jc w:val="center"/>
        <w:tblInd w:w="0" w:type="dxa"/>
        <w:tblLayout w:type="fixed"/>
        <w:tblCellMar>
          <w:top w:w="28" w:type="dxa"/>
          <w:left w:w="28" w:type="dxa"/>
          <w:bottom w:w="28" w:type="dxa"/>
          <w:right w:w="28" w:type="dxa"/>
        </w:tblCellMar>
      </w:tblPr>
      <w:tblGrid>
        <w:gridCol w:w="473"/>
        <w:gridCol w:w="415"/>
        <w:gridCol w:w="417"/>
        <w:gridCol w:w="211"/>
        <w:gridCol w:w="721"/>
        <w:gridCol w:w="271"/>
        <w:gridCol w:w="109"/>
        <w:gridCol w:w="109"/>
        <w:gridCol w:w="109"/>
        <w:gridCol w:w="211"/>
        <w:gridCol w:w="721"/>
        <w:gridCol w:w="271"/>
        <w:gridCol w:w="109"/>
        <w:gridCol w:w="109"/>
        <w:gridCol w:w="109"/>
        <w:gridCol w:w="211"/>
        <w:gridCol w:w="211"/>
        <w:gridCol w:w="61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revenues increased $2.0 million from the three months ended June 30, 2025 to the three months ended June 30, 2026, primarily due to growth in outlet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revenues, which primarily represent spa, parking, resort fees and attrition and cancellation fees, increased by $1.2 million from the three months ended June 30, 2025 to the three months ended June 30, 2026, primarily due to an increase in resort fees.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Hotel operating expenses.</w:t>
      </w:r>
      <w:r>
        <w:rPr>
          <w:color w:val="000000"/>
        </w:rPr>
        <w:t xml:space="preserve"> </w:t>
      </w:r>
      <w:r>
        <w:rPr>
          <w:rFonts w:ascii="Times New Roman;serif" w:hAnsi="Times New Roman;serif"/>
          <w:b w:val="false"/>
          <w:color w:val="000000"/>
          <w:sz w:val="20"/>
        </w:rPr>
        <w:t>Hotel operating expenses consists of the following (dollars in thousands):</w:t>
      </w:r>
    </w:p>
    <w:tbl>
      <w:tblPr>
        <w:tblW w:w="8654" w:type="dxa"/>
        <w:jc w:val="left"/>
        <w:tblInd w:w="0" w:type="dxa"/>
        <w:tblLayout w:type="fixed"/>
        <w:tblCellMar>
          <w:top w:w="28" w:type="dxa"/>
          <w:left w:w="28" w:type="dxa"/>
          <w:bottom w:w="28" w:type="dxa"/>
          <w:right w:w="28" w:type="dxa"/>
        </w:tblCellMar>
      </w:tblPr>
      <w:tblGrid>
        <w:gridCol w:w="1251"/>
        <w:gridCol w:w="1101"/>
        <w:gridCol w:w="1113"/>
        <w:gridCol w:w="211"/>
        <w:gridCol w:w="828"/>
        <w:gridCol w:w="109"/>
        <w:gridCol w:w="109"/>
        <w:gridCol w:w="109"/>
        <w:gridCol w:w="109"/>
        <w:gridCol w:w="211"/>
        <w:gridCol w:w="828"/>
        <w:gridCol w:w="109"/>
        <w:gridCol w:w="109"/>
        <w:gridCol w:w="109"/>
        <w:gridCol w:w="109"/>
        <w:gridCol w:w="211"/>
        <w:gridCol w:w="691"/>
        <w:gridCol w:w="109"/>
        <w:gridCol w:w="109"/>
        <w:gridCol w:w="109"/>
        <w:gridCol w:w="109"/>
        <w:gridCol w:w="290"/>
        <w:gridCol w:w="295"/>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hotel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hotel operating expenses decreased $6.3 million from the three months ended June 30, 2025 to the three months ended June 30, 2026. A decrease of $2.6 million was attributable to our 2026 Disposition. Excluding the impact of the 2026 Disposition, hotel operating expenses decreased primarily due to property tax appeal settlements recognized in the second quarter of 2026 at our Chicago properties. Including the increase in incentive management fees, the net benefit from these settlements was $6.9 million. In addition, despite an increase in occupancy, rooms and food and beverage expenses remained generally flat as a result of favorable labor productivity and cost controls.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on our hotel buildings is generally recorded over a 40-year period subsequent to acquisition. Depreciable lives of hotel furniture, fixtures and equipment are estimated as the time period between the acquisition date and the date that the hotel furniture, fixtures and equipment will be replaced. Our depreciation and amortization expense increased $0.7 million from the three months ended June 30, 2025 to the three months ended June 30, 2026, primarily due to the renovations and rebrandings that were completed in 2025 and in the first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Corporate expenses.</w:t>
      </w:r>
      <w:r>
        <w:rPr>
          <w:color w:val="000000"/>
        </w:rPr>
        <w:t xml:space="preserve"> </w:t>
      </w:r>
      <w:r>
        <w:rPr>
          <w:rFonts w:ascii="Times New Roman;serif" w:hAnsi="Times New Roman;serif"/>
          <w:b w:val="false"/>
          <w:color w:val="000000"/>
          <w:sz w:val="20"/>
        </w:rPr>
        <w:t>Corporate expenses principally consist of employee-related costs, including payroll, bonus, restricted stock and benefits. Corporate expenses also include corporate operating costs, professional fees and directors' fees. Our corporate expenses increased $1.0 million from the three months ended June 30, 2025 to the three months ended June 30, 2026, primarily due to an increase in employee-related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Our interest expense decreased $0.4 million from the three months ended June 30, 2025 to the three months ended June 30, 2026 and was comprised of the following (dollars in thousands): </w:t>
      </w:r>
    </w:p>
    <w:tbl>
      <w:tblPr>
        <w:tblW w:w="8215" w:type="dxa"/>
        <w:jc w:val="center"/>
        <w:tblInd w:w="0" w:type="dxa"/>
        <w:tblLayout w:type="fixed"/>
        <w:tblCellMar>
          <w:top w:w="28" w:type="dxa"/>
          <w:left w:w="28" w:type="dxa"/>
          <w:bottom w:w="28" w:type="dxa"/>
          <w:right w:w="28" w:type="dxa"/>
        </w:tblCellMar>
      </w:tblPr>
      <w:tblGrid>
        <w:gridCol w:w="1085"/>
        <w:gridCol w:w="955"/>
        <w:gridCol w:w="959"/>
        <w:gridCol w:w="230"/>
        <w:gridCol w:w="785"/>
        <w:gridCol w:w="118"/>
        <w:gridCol w:w="118"/>
        <w:gridCol w:w="118"/>
        <w:gridCol w:w="118"/>
        <w:gridCol w:w="230"/>
        <w:gridCol w:w="785"/>
        <w:gridCol w:w="118"/>
        <w:gridCol w:w="109"/>
        <w:gridCol w:w="109"/>
        <w:gridCol w:w="109"/>
        <w:gridCol w:w="211"/>
        <w:gridCol w:w="616"/>
        <w:gridCol w:w="109"/>
        <w:gridCol w:w="109"/>
        <w:gridCol w:w="109"/>
        <w:gridCol w:w="109"/>
        <w:gridCol w:w="343"/>
        <w:gridCol w:w="347"/>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interest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fees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expense</w:t>
            </w:r>
            <w:r>
              <w:rPr>
                <w:rFonts w:ascii="Times New Roman;serif" w:hAnsi="Times New Roman;serif"/>
                <w:b w:val="false"/>
                <w:color w:val="000000"/>
                <w:sz w:val="13"/>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interest expense associated with the ground lease on the Courtyard New York Manhattan/Fifth Avenue, which was sold on May 1, 2026.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was due to our mortgage debt repayments in 2025, which was offset by the amendment to our Credit Facility in July 2025 that increased our unsecured term loans by $300 million. In addition, finance lease expense decreased due to the sale of Courtyard New York Manhattan/Fifth Avenue in May 2026.</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Comparison of the Six Months Ended June 30, 2026 to the Six Months Ended June 30, 2025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Revenue</w:t>
      </w:r>
      <w:r>
        <w:rPr>
          <w:rFonts w:ascii="Times New Roman;serif" w:hAnsi="Times New Roman;serif"/>
          <w:b w:val="false"/>
          <w:color w:val="000000"/>
          <w:sz w:val="20"/>
        </w:rPr>
        <w:t xml:space="preserve">. Revenue consists of the following (dollars in thousands): </w:t>
      </w:r>
    </w:p>
    <w:tbl>
      <w:tblPr>
        <w:tblW w:w="6701" w:type="dxa"/>
        <w:jc w:val="center"/>
        <w:tblInd w:w="0" w:type="dxa"/>
        <w:tblLayout w:type="fixed"/>
        <w:tblCellMar>
          <w:top w:w="28" w:type="dxa"/>
          <w:left w:w="28" w:type="dxa"/>
          <w:bottom w:w="28" w:type="dxa"/>
          <w:right w:w="28" w:type="dxa"/>
        </w:tblCellMar>
      </w:tblPr>
      <w:tblGrid>
        <w:gridCol w:w="601"/>
        <w:gridCol w:w="529"/>
        <w:gridCol w:w="53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316"/>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Rooms revenues increased by $10.4 million from the six months ended June 30, 2025 to the six months ended June 30, 2026. Excluding a decrease of $6.1 million due to our 2025 and 2026 Dispositions, room revenues increased $16.5 million driven primarily by an increase in ADR, as well as higher occupancy at L'Auberge de Sedona and Cavallo Point.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key hotel operating statistics for the six months ended June 30, 2026 and 2025. The operating statistics for the six months ended June 30, 2025 reflect the comparable period in 2025 to our 2026 ownership period.</w:t>
      </w:r>
    </w:p>
    <w:tbl>
      <w:tblPr>
        <w:tblW w:w="5401" w:type="dxa"/>
        <w:jc w:val="center"/>
        <w:tblInd w:w="0" w:type="dxa"/>
        <w:tblLayout w:type="fixed"/>
        <w:tblCellMar>
          <w:top w:w="28" w:type="dxa"/>
          <w:left w:w="28" w:type="dxa"/>
          <w:bottom w:w="28" w:type="dxa"/>
          <w:right w:w="28" w:type="dxa"/>
        </w:tblCellMar>
      </w:tblPr>
      <w:tblGrid>
        <w:gridCol w:w="473"/>
        <w:gridCol w:w="415"/>
        <w:gridCol w:w="417"/>
        <w:gridCol w:w="211"/>
        <w:gridCol w:w="721"/>
        <w:gridCol w:w="271"/>
        <w:gridCol w:w="109"/>
        <w:gridCol w:w="109"/>
        <w:gridCol w:w="109"/>
        <w:gridCol w:w="211"/>
        <w:gridCol w:w="721"/>
        <w:gridCol w:w="271"/>
        <w:gridCol w:w="109"/>
        <w:gridCol w:w="109"/>
        <w:gridCol w:w="109"/>
        <w:gridCol w:w="211"/>
        <w:gridCol w:w="211"/>
        <w:gridCol w:w="61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revenues increased $2.3 million from the six months ended June 30, 2025 to the six months ended June 30, 2026, primarily due to growth in outlet revenues, offset by a decrease of $0.5 million due to our 2025 Disposition.</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revenues, which primarily represent spa, parking, resort fees and attrition and cancellation fees, increased by $3.2 million from the six months ended June 30, 2025 to the six months ended June 30, 2026, primarily due to an increase in resort fees, offset by a decrease of $0.3 million due to our 2025 and 2026 Dispositions.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left"/>
        <w:rPr/>
      </w:pPr>
      <w:r>
        <w:rPr>
          <w:rFonts w:ascii="Times New Roman;serif" w:hAnsi="Times New Roman;serif"/>
          <w:b w:val="false"/>
          <w:i/>
          <w:color w:val="000000"/>
          <w:sz w:val="20"/>
        </w:rPr>
        <w:t>Hotel operating expenses.</w:t>
      </w:r>
      <w:r>
        <w:rPr>
          <w:color w:val="000000"/>
        </w:rPr>
        <w:t xml:space="preserve"> </w:t>
      </w:r>
      <w:r>
        <w:rPr>
          <w:rFonts w:ascii="Times New Roman;serif" w:hAnsi="Times New Roman;serif"/>
          <w:b w:val="false"/>
          <w:color w:val="000000"/>
          <w:sz w:val="20"/>
        </w:rPr>
        <w:t>Hotel operating expenses consists of the following (dollars in thousands):</w:t>
      </w:r>
    </w:p>
    <w:tbl>
      <w:tblPr>
        <w:tblW w:w="8650" w:type="dxa"/>
        <w:jc w:val="left"/>
        <w:tblInd w:w="0" w:type="dxa"/>
        <w:tblLayout w:type="fixed"/>
        <w:tblCellMar>
          <w:top w:w="28" w:type="dxa"/>
          <w:left w:w="28" w:type="dxa"/>
          <w:bottom w:w="28" w:type="dxa"/>
          <w:right w:w="28" w:type="dxa"/>
        </w:tblCellMar>
      </w:tblPr>
      <w:tblGrid>
        <w:gridCol w:w="1251"/>
        <w:gridCol w:w="1101"/>
        <w:gridCol w:w="1113"/>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90"/>
        <w:gridCol w:w="295"/>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hotel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hotel operating expenses decreased $7.6 million from the six months ended June 30, 2025 to the six months ended June 30, 2026. A decrease of $5.4 million was attributable to our 2025 and 2026 Dispositions. Excluding the impact of the 2026 Disposition, hotel operating expenses decreased primarily due to property tax appeal settlements recognized in the second quarter of 2026 at our Chicago properties. Including the increase in incentive management fees, the net benefit from these settlements was $6.9 million. In addition, rooms and food and beverage expenses remained generally flat as a result of favorable labor productivity and cost controls.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on our hotel buildings is generally recorded over a 40-year period subsequent to acquisition. Depreciable lives of hotel furniture, fixtures and equipment are estimated as the time period between the acquisition date and the date that the hotel furniture, fixtures and equipment will be replaced. Our depreciation and amortization expense increased $1.3 million from the six months ended June 30, 2025 to the six months ended June 30, 2026, primarily due to the renovations and rebrandings that were completed in 2025 and in the first half of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Corporate expenses.</w:t>
      </w:r>
      <w:r>
        <w:rPr>
          <w:color w:val="000000"/>
        </w:rPr>
        <w:t xml:space="preserve"> </w:t>
      </w:r>
      <w:r>
        <w:rPr>
          <w:rFonts w:ascii="Times New Roman;serif" w:hAnsi="Times New Roman;serif"/>
          <w:b w:val="false"/>
          <w:color w:val="000000"/>
          <w:sz w:val="20"/>
        </w:rPr>
        <w:t>Corporate expenses principally consist of employee-related costs, including payroll, bonus, restricted stock and benefits. Corporate expenses also include corporate operating costs, professional fees and directors' fees. Our corporate expenses increased $1.1 million from the six months ended June 30, 2025 to the six months ended June 30, 2026, primarily due to an increase in employee-related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Our interest expense decreased $0.9 million from the six months ended June 30, 2025 to the six months ended June 30, 2026 and was comprised of the following (dollars in thousands): </w:t>
      </w:r>
    </w:p>
    <w:tbl>
      <w:tblPr>
        <w:tblW w:w="8004" w:type="dxa"/>
        <w:jc w:val="center"/>
        <w:tblInd w:w="0" w:type="dxa"/>
        <w:tblLayout w:type="fixed"/>
        <w:tblCellMar>
          <w:top w:w="28" w:type="dxa"/>
          <w:left w:w="28" w:type="dxa"/>
          <w:bottom w:w="28" w:type="dxa"/>
          <w:right w:w="28" w:type="dxa"/>
        </w:tblCellMar>
      </w:tblPr>
      <w:tblGrid>
        <w:gridCol w:w="1085"/>
        <w:gridCol w:w="955"/>
        <w:gridCol w:w="95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3"/>
        <w:gridCol w:w="347"/>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debt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expense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interest expense associated with the ground lease on the Courtyard New York Manhattan/Fifth Avenue, which was sold on May 1, 2026.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was due to our mortgage debt repayments in 2025, which was mostly offset by the amendment to our Credit Facility in July 2025 that increased our unsecured term loans by $300 million. In addition, finance lease expense decreased due to the sale of Courtyard New York Manhattan/Fifth Avenue in May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short-term liquidity requirements consist primarily of funds necessary to pay debt service, operating expenses, ground lease payments, capital expenditures directly associated with our hotels, any share repurchases, and distributions to our common stockholders.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long-term liquidity requirements consist primarily of funds necessary to pay for the costs of acquiring additional hotels, renovations and other capital expenditures that need to be made periodically to our hotels, debt payments, debt maturities, ground lease payments, share repurchases, and making distributions to our common stockholders. We expect to meet our short- and long-term liquidity requirements through various sources of capital, including cash provided by operations, borrowings, issuances of additional equity, and/or debt securities and proceeds from property dispositions, and we anticipate that these sources will provide adequate capital for the next 12 months and beyond. Our ability to incur additional debt is dependent upon a number of factors, including the state of the credit markets, our degree of leverage, the value of our unencumbered assets and borrowing restrictions imposed by existing lenders. Our ability to raise capital through the issuance of additional equity and/or debt securities is also dependent on a number of factors including the current state of the capital markets, investor sentiment and our intended use of proceeds. We may need to raise additional capital if we identify acquisition opportunities that meet our investment objectives and require liquidity in excess of existing cash balances. Our ability to raise funds through the issuance of equity securities depends on, among other things, general market conditions for hotel companies and REITs and market perceptions about us.</w:t>
      </w:r>
    </w:p>
    <w:p>
      <w:pPr>
        <w:pStyle w:val="TextBody"/>
        <w:bidi w:val="0"/>
        <w:spacing w:before="0" w:after="0"/>
        <w:ind w:left="0" w:right="0" w:firstLine="450"/>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Our Financing Strategy</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our formation in 2004, we have been committed to a conservative capital structure with prudent leverage. Our outstanding debt consists of unsecured term loans and periodic borrowings on our senior unsecured credit facility. We have a preference to maintain a significant portion of our portfolio as unencumbered in order to provide balance sheet flexibility. As of June 30, 2026, our portfolio is fully unencumbered by secured debt. We expect that our strategy will enable us to maintain a balance sheet with an appropriate amount of debt throughout all phases of the lodging cycle. We believe that it is prudent to reduce the inherent risk of highly cyclical lodging fundamentals through a low leverage capital structure.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prefer a relatively simple, but efficient capital structure. We generally structure our hotel acquisitions to be straightforward and to fit within our capital structure; however, we will consider a more complex transaction, such as the issuance of common OP units in connection with the acquisition of Cavallo Point, The Lodge at the Golden Gate, if we believe that the projected returns to our stockholders will significantly exceed the returns that would otherwise be available.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we maintain a reasonable amount of debt. As of June 30, 2026, we had $1.1 billion of debt outstanding with a weighted average interest rate of 4.90%, which includes the effect of interest rate swaps, and a weighted average maturity date of approximately 3.2 years, assuming all extension options available in our debt agreements are exercised.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our financing activities is available in Note 5 to the accompanying consolidated financial statements.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jc w:val="both"/>
        <w:rPr/>
      </w:pPr>
      <w:r>
        <w:rPr/>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board of directors approved an “at-the-market” equity offering program (the “ATM Program”), pursuant to which we may issue and sell shares of our common stock from time to time, having an aggregate offering price of up to $200.0 million. No shares were sold under the ATM Program during the three and six months ended June 30, 2026.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our board of directors authorized the repurchase of up to $300 million of our common stock under a new share repurchase program effective May 1, 2026 (the “Share Repurchase Program”). This Share Repurchase Program replaced our prior $200 million share repurchase program that was authorized in May 2024. The timing and actual number of shares repurchased will depend on a variety of factors, including price and general business and market conditions. The Share Repurchase Program does not obligate us to acquire any particular amount of shares, and may be suspended or discontinued at any time at our discretion. The Share Repurchase Program will expire on May 1, 2028. During the six months ended June 30, 2026, we repurchased 189,265 shares of common stock at an average price of $9.79 per share for a total purchase price of $1.9 million. During the six months ended June 30, 2025, we repurchased 3,097,942 shares of common stock at an average price of $7.64 per share for a total purchase price of $23.7 million under this program. As of July 30, 2026, we have $299.4 million of authorized capacity remaining under the Share Repurchase Program.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Borrowings</w:t>
      </w:r>
    </w:p>
    <w:p>
      <w:pPr>
        <w:pStyle w:val="TextBody"/>
        <w:bidi w:val="0"/>
        <w:spacing w:before="0" w:after="0"/>
        <w:ind w:left="0" w:right="0" w:firstLine="13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do not utilize short-term borrowings to meet liquidity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Senior Unsecured Credit Facility and Unsecured Term Loans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party to a Seventh Amended and Restated Credit Agreement (the “Credit Facility”) that provides for a $400.0 million revolving credit facility (the “Revolving Credit Facility”) and three term loan facilities in the aggregate amount of $1.1 billion. The Revolving Credit Facility matures on January 22, 2030. The term loan facilities consist of a $500.0 million term loan that matures on January 3, 2028 (the “Term 1 Loan”), a $300.0 million term loan that matures January 22, 2030 (the “Term 2 Loan”) and a $300.0 million term loan that matures on January 22, 2029 (the “Term 3 Loan”). The maturity date of the Revolving Credit Facility, Term 1 Loan and Term 3 Loan may be extended for two additional six-month periods upon the payment of applicable fees and satisfaction of certain standard conditions. We have the right to increase the aggregate capacity of the Amended Credit Facility to $1.8 billion upon the satisfaction of certain standard conditions. As of June 30, 2026, we had $400.0 million of borrowing capacity under the Revolving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the Credit Facility, including a summary of significant covenants, can be found in Note 5 to the accompanying consolidated financial statements.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and Uses of Cash</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$106.0 million of unrestricted cash, $39.9 million of restricted cash and no outstanding borrowings on our revolving credit facility.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operations was $101.5 million for the six months ended June 30, 2026. Our cash from operations generally consists of the net cash flow from hotel operations, offset by cash paid for corporate expenses, interest payments, and other working capital changes.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was $10.4 million for the six months ended June 30, 2026, which consisted of $40.3 million of capital expenditures offset by $29.9 million of net proceeds from the sale of Courtyard New York Manhattan/Fifth Avenue on May 1,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net cash used in financing activities was $48.5 million for the six months ended June 30, 2026, which consisted of $43.7 million of distributions paid to holders of common stock and units, $2.9 million paid to repurchase shares upon the vesting of restricted stock for the payment of tax withholdings obligations and $1.9 million of share repurchases.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anticipate our significant sources of cash for the year ending December 31, 2026 will be net cash flow from hotel operations and potential dispositions. We expect our estimated uses of cash for the year ending December 31, 2026 will be debt service payments, potential acquisitions of hotel properties, capital expenditures, distributions to common stockholders, and corporate expenses.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76" w:before="0" w:after="0"/>
        <w:ind w:left="0" w:right="0" w:firstLine="450"/>
        <w:jc w:val="both"/>
        <w:rPr/>
      </w:pPr>
      <w:r>
        <w:rPr>
          <w:rFonts w:ascii="Times New Roman;serif" w:hAnsi="Times New Roman;serif"/>
          <w:b w:val="false"/>
          <w:color w:val="000000"/>
          <w:sz w:val="20"/>
        </w:rPr>
        <w:t>We intend to distribute to our stockholders dividends at least equal to our REIT taxable income to avoid paying corporate income tax and excise tax on our earnings (other than the earnings of our taxable REIT subsidiaries, which are all subject to tax at regular corporate rates) and to qualify for the tax benefits afforded to REITs under the Code.</w:t>
      </w:r>
      <w:r>
        <w:rPr>
          <w:color w:val="000000"/>
        </w:rPr>
        <w:t xml:space="preserve"> </w:t>
      </w:r>
      <w:r>
        <w:rPr>
          <w:rFonts w:ascii="Times New Roman;serif" w:hAnsi="Times New Roman;serif"/>
          <w:b w:val="false"/>
          <w:color w:val="000000"/>
          <w:sz w:val="20"/>
        </w:rPr>
        <w:t>In order to maintain our qualification as a REIT, we are required to distribute to our stockholders each year at least: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90% of our REIT taxable income, determined before the deduction for dividends paid and excluding any net capital gain (which does not necessarily equal net income as calculated in accordance with U.S. GAAP); plus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90% of the excess of our net income from foreclosure property over the tax imposed on such income by the Code; less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excess non-cash income (as determined under the Code).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and frequency of distributions will be authorized by our board of directors and declared by us based upon a variety of factors, including our financial performance, restrictions under applicable law and our current and future loan agreements, our debt service requirements, our capital expenditure requirements, the requirements for qualification as a REIT under the Code and other factors that our board of directors may deem relevant from time to time. Information about our distributions declared and paid can be found in Note 8 to the accompanying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we have paid the following dividends to holders of our common stock and common OP units:</w:t>
      </w:r>
    </w:p>
    <w:p>
      <w:pPr>
        <w:pStyle w:val="TextBody"/>
        <w:bidi w:val="0"/>
        <w:spacing w:before="0" w:after="0"/>
        <w:ind w:left="0" w:right="0" w:firstLine="450"/>
        <w:jc w:val="both"/>
        <w:rPr/>
      </w:pPr>
      <w:r>
        <w:rPr/>
      </w:r>
    </w:p>
    <w:tbl>
      <w:tblPr>
        <w:tblW w:w="5243" w:type="dxa"/>
        <w:jc w:val="center"/>
        <w:tblInd w:w="0" w:type="dxa"/>
        <w:tblLayout w:type="fixed"/>
        <w:tblCellMar>
          <w:top w:w="28" w:type="dxa"/>
          <w:left w:w="28" w:type="dxa"/>
          <w:bottom w:w="28" w:type="dxa"/>
          <w:right w:w="28" w:type="dxa"/>
        </w:tblCellMar>
      </w:tblPr>
      <w:tblGrid>
        <w:gridCol w:w="548"/>
        <w:gridCol w:w="482"/>
        <w:gridCol w:w="485"/>
        <w:gridCol w:w="109"/>
        <w:gridCol w:w="109"/>
        <w:gridCol w:w="109"/>
        <w:gridCol w:w="559"/>
        <w:gridCol w:w="559"/>
        <w:gridCol w:w="562"/>
        <w:gridCol w:w="109"/>
        <w:gridCol w:w="109"/>
        <w:gridCol w:w="109"/>
        <w:gridCol w:w="335"/>
        <w:gridCol w:w="813"/>
        <w:gridCol w:w="24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Dividend </w:t>
              <w:br/>
              <w:t>per Share/Unit</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management and franchise agreements for each of our hotels provide for the establishment of separate property improvement reserves to cover, among other things, the cost of replacing and repairing furniture, fixtures and equipment at our hotels and other routine capital expenditures. Contributions to the property improvement fund are calculated as a percentage of hotel revenues. In addition, we may be required to pay for the cost of certain additional improvements that are not permitted to be funded from the property improvement fund under the applicable management or franchise agreement. As of June 30, 2026, we have set aside $39.8 million for capital projects in property improvement reserves, which are included in restricted cash on our consolidated balance sheets.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invested approximately $40.3 million on capital expenditures during the six months ended June 30, 2026. In 2026, we expect to spend between $75.0 to $85.0 million on capital expenditures. Significant projects currently planned or completed in 2026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Courtyard New York Manhattan/Midtown East:</w:t>
      </w:r>
      <w:r>
        <w:rPr>
          <w:color w:val="000000"/>
        </w:rPr>
        <w:t xml:space="preserve"> </w:t>
      </w:r>
      <w:r>
        <w:rPr>
          <w:rFonts w:ascii="Times New Roman;serif" w:hAnsi="Times New Roman;serif"/>
          <w:b w:val="false"/>
          <w:color w:val="000000"/>
          <w:sz w:val="20"/>
        </w:rPr>
        <w:t>We completed a renovation of the hotel's guestrooms during first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 xml:space="preserve">Henderson Park Inn: </w:t>
      </w:r>
      <w:r>
        <w:rPr>
          <w:rFonts w:ascii="Times New Roman;serif" w:hAnsi="Times New Roman;serif"/>
          <w:b w:val="false"/>
          <w:color w:val="000000"/>
          <w:sz w:val="20"/>
        </w:rPr>
        <w:t>We completed a renovation of the hotel's guestrooms and bathrooms during the first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Westin San Diego Bayview:</w:t>
      </w:r>
      <w:r>
        <w:rPr>
          <w:color w:val="000000"/>
        </w:rPr>
        <w:t xml:space="preserve"> </w:t>
      </w:r>
      <w:r>
        <w:rPr>
          <w:rFonts w:ascii="Times New Roman;serif" w:hAnsi="Times New Roman;serif"/>
          <w:b w:val="false"/>
          <w:color w:val="000000"/>
          <w:sz w:val="20"/>
        </w:rPr>
        <w:t>We expect to commence a renovation of the hotel's entrance and lobby, including the lobby bar, during the third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 xml:space="preserve">Atlanta Marriott Alpharetta: </w:t>
      </w:r>
      <w:r>
        <w:rPr>
          <w:rFonts w:ascii="Times New Roman;serif" w:hAnsi="Times New Roman;serif"/>
          <w:b w:val="false"/>
          <w:color w:val="000000"/>
          <w:sz w:val="20"/>
        </w:rPr>
        <w:t>We expect to commence a renovation of the hotel's guestrooms during the fourth quarter of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use the following non-GAAP financial measures that we believe are useful to investors as key measures of our operating performance: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These measures should not be considered in isolation or as a substitute for measures of performance in accordance with U.S. GAAP.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as calculated by us, may not be comparable to other companies that do not define such terms exactly as the Company.</w:t>
      </w:r>
    </w:p>
    <w:p>
      <w:pPr>
        <w:pStyle w:val="TextBody"/>
        <w:bidi w:val="0"/>
        <w:spacing w:before="0" w:after="0"/>
        <w:ind w:left="0" w:right="0" w:firstLine="495"/>
        <w:jc w:val="both"/>
        <w:rPr/>
      </w:pPr>
      <w:r>
        <w:rPr/>
      </w:r>
    </w:p>
    <w:p>
      <w:pPr>
        <w:pStyle w:val="TextBody"/>
        <w:bidi w:val="0"/>
        <w:spacing w:lineRule="auto" w:line="288" w:before="0" w:after="0"/>
        <w:ind w:left="0" w:right="0" w:firstLine="135"/>
        <w:jc w:val="both"/>
        <w:rPr>
          <w:rFonts w:ascii="Times New Roman;serif" w:hAnsi="Times New Roman;serif"/>
          <w:b/>
          <w:i/>
          <w:color w:val="000000"/>
          <w:sz w:val="20"/>
        </w:rPr>
      </w:pPr>
      <w:r>
        <w:rPr>
          <w:rFonts w:ascii="Times New Roman;serif" w:hAnsi="Times New Roman;serif"/>
          <w:b/>
          <w:i/>
          <w:color w:val="000000"/>
          <w:sz w:val="20"/>
        </w:rPr>
        <w:t>Use and Limitations of Non-GAAP Financial Measures</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management and Board of Directors use EBITDA, EBITDA</w:t>
      </w:r>
      <w:r>
        <w:rPr>
          <w:rFonts w:ascii="Times New Roman;serif" w:hAnsi="Times New Roman;serif"/>
          <w:b w:val="false"/>
          <w:i/>
          <w:color w:val="000000"/>
          <w:sz w:val="20"/>
        </w:rPr>
        <w:t>re</w:t>
      </w:r>
      <w:r>
        <w:rPr>
          <w:rFonts w:ascii="Times New Roman;serif" w:hAnsi="Times New Roman;serif"/>
          <w:b w:val="false"/>
          <w:color w:val="000000"/>
          <w:sz w:val="20"/>
        </w:rPr>
        <w:t>, Adjusted EBITDA, Hotel Adjusted EBITDA, FFO and Adjusted FFO to evaluate the performance of our hotels and to facilitate comparisons between us and other lodging REITs, hotel owners who are not REITs and other capital intensive companies. The use of these non-GAAP financial measures has certain limitations. These non-GAAP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comprehensive income and consolidated statements of cash flows, include interest expense, capital expenditures, and other excluded items, all of which should be considered when evaluating our performance, as well as the usefulness of our non-GAAP financial measures.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measures, provide a more complete understanding of factors and trends affecting our business than could be obtained absent this disclosure. We strongly encourage investors to review our financial information in its entirety and not to rely on a single financial measure.</w:t>
      </w:r>
    </w:p>
    <w:p>
      <w:pPr>
        <w:pStyle w:val="TextBody"/>
        <w:bidi w:val="0"/>
        <w:spacing w:before="0" w:after="0"/>
        <w:ind w:left="0" w:right="0" w:firstLine="720"/>
        <w:jc w:val="both"/>
        <w:rPr/>
      </w:pPr>
      <w:r>
        <w:rPr/>
      </w:r>
    </w:p>
    <w:p>
      <w:pPr>
        <w:pStyle w:val="TextBody"/>
        <w:bidi w:val="0"/>
        <w:spacing w:lineRule="auto" w:line="288" w:before="0" w:after="0"/>
        <w:ind w:left="0" w:right="0" w:firstLine="135"/>
        <w:jc w:val="both"/>
        <w:rPr/>
      </w:pPr>
      <w:r>
        <w:rPr>
          <w:rFonts w:ascii="Times New Roman;serif" w:hAnsi="Times New Roman;serif"/>
          <w:b/>
          <w:i/>
          <w:color w:val="000000"/>
          <w:sz w:val="20"/>
        </w:rPr>
        <w:t>EBITDA and EBITDA</w:t>
      </w:r>
      <w:r>
        <w:rPr>
          <w:rFonts w:ascii="Times New Roman;serif" w:hAnsi="Times New Roman;serif"/>
          <w:b/>
          <w:color w:val="000000"/>
          <w:sz w:val="20"/>
        </w:rPr>
        <w:t>re</w:t>
      </w:r>
    </w:p>
    <w:p>
      <w:pPr>
        <w:pStyle w:val="TextBody"/>
        <w:bidi w:val="0"/>
        <w:spacing w:before="0" w:after="0"/>
        <w:ind w:left="0" w:right="0" w:firstLine="13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EBITDA represents net income (calculated in accordance with U.S. GAAP) excluding: (1) interest expense; (2) provision for income taxes, including income taxes applicable to sale of assets; and (3) depreciation and amortization. The Company computes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in accordance with the National Association of Real Estate Investment Trusts (“Nareit”) guidelines, as defined in its September 2017 white paper “Earnings Before Interest, Taxes, Depreciation and Amortization for Real Estate.”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of unconsolidated affiliates. </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believe EBITDA and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w:t>
      </w:r>
      <w:r>
        <w:rPr>
          <w:rFonts w:ascii="Times New Roman;serif" w:hAnsi="Times New Roman;serif"/>
          <w:b w:val="false"/>
          <w:i/>
          <w:color w:val="000000"/>
          <w:sz w:val="20"/>
        </w:rPr>
        <w:t>re</w:t>
      </w:r>
      <w:r>
        <w:rPr>
          <w:rFonts w:ascii="Times New Roman;serif" w:hAnsi="Times New Roman;serif"/>
          <w:b w:val="false"/>
          <w:color w:val="000000"/>
          <w:sz w:val="20"/>
        </w:rPr>
        <w:t>, impairment and gains or losses on dispositions of depreciated property) from our operating results. In addition, covenants included in our debt agreements use EBITDA as a measure of financial compliance. We also use EBITDA and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as measures in determining the value of hotel acquisitions and dispositions.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FFO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compute FFO in accordance with standards established by Nareit, which defines FFO as net income (calculated in accordance with U.S. GAAP) excluding gains or losses from sales of properties and impairment losses, plus real estate related depreciation and amortization. We believe that the presentation of FFO provides useful information to investors regarding its operating performance because it is a measure of our operations without regard to specified non-cash items, such as real estate related depreciation and amortization and gains or losses on the sale of assets. We also use FFO as one measure in assessing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Adjustments to EBITDAre and FFO</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adjust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and FFO when evaluating our performance because we believe that the exclusion of certain additional items described below provides useful supplemental information to investors regarding our ongoing operating performance and that the presentation of Adjusted EBITDA and Adjusted FFO when combined with U.S. GAAP net income,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and FFO, is beneficial to an investor's complete understanding of our consolidated and property-level operating performance. We adjust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and FFO for the following items:</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Non-Cash Lease Expense and Other Amortization</w:t>
      </w:r>
      <w:r>
        <w:rPr>
          <w:rFonts w:ascii="Times New Roman;serif" w:hAnsi="Times New Roman;serif"/>
          <w:b w:val="false"/>
          <w:color w:val="000000"/>
          <w:sz w:val="20"/>
        </w:rPr>
        <w:t>: We exclude the non-cash expense incurred from the straight line recognition of expense from 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in the current period and they are of lesser significance in evaluating our actual performance for that period.</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Cumulative Effect of a Change in Accounting Principle</w:t>
      </w:r>
      <w:r>
        <w:rPr>
          <w:rFonts w:ascii="Times New Roman;serif" w:hAnsi="Times New Roman;serif"/>
          <w:b w:val="false"/>
          <w:color w:val="000000"/>
          <w:sz w:val="20"/>
        </w:rPr>
        <w:t>: The Financial Accounting Standards Board promulgates new accounting standards that require or permit the consolidated statement of operations and comprehensive income to reflect the cumulative effect of a change in accounting principle. We exclude the effect of these adjustments, which include the accounting impact from prior periods, because they do not reflect the Company’s actual underlying performance for the current period.</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Gains or Losses from Debt Extinguishment</w:t>
      </w:r>
      <w:r>
        <w:rPr>
          <w:rFonts w:ascii="Times New Roman;serif" w:hAnsi="Times New Roman;serif"/>
          <w:b w:val="false"/>
          <w:color w:val="000000"/>
          <w:sz w:val="20"/>
        </w:rPr>
        <w:t>: We exclude the effect of gains or losses recorded on the debt extinguishment because these gains or losses result from transaction activity related to the Company’s capital structure that we believe are not indicative of the ongoing operating performance of the Company or our hotels.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Hotel Acquisition Costs</w:t>
      </w:r>
      <w:r>
        <w:rPr>
          <w:rFonts w:ascii="Times New Roman;serif" w:hAnsi="Times New Roman;serif"/>
          <w:b w:val="false"/>
          <w:color w:val="000000"/>
          <w:sz w:val="20"/>
        </w:rPr>
        <w:t>: We exclude hotel acquisition costs expensed during the period because we believe these transaction costs are not reflective of the ongoing performance of the Company or our hotels.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Severance Costs</w:t>
      </w:r>
      <w:r>
        <w:rPr>
          <w:rFonts w:ascii="Times New Roman;serif" w:hAnsi="Times New Roman;serif"/>
          <w:b w:val="false"/>
          <w:color w:val="000000"/>
          <w:sz w:val="20"/>
        </w:rPr>
        <w:t>: We exclude corporate severance costs, or reversals thereof, incurred with the termination of corporate-level employees and severance costs incurred at our hotels related to lease terminations or structured severance programs because we believe these costs do not reflect the ongoing performance of the Company or our hotels.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Hotel Manager Transition and Hotel Pre-Opening Costs</w:t>
      </w:r>
      <w:r>
        <w:rPr>
          <w:rFonts w:ascii="Times New Roman;serif" w:hAnsi="Times New Roman;serif"/>
          <w:b w:val="false"/>
          <w:color w:val="000000"/>
          <w:sz w:val="20"/>
        </w:rPr>
        <w:t>: We exclude the transition costs associated with a change in hotel manager and the pre-opening costs associated with the redevelopment or rebranding of a hotel because we believe these items do not reflect the ongoing performance of the Company or our hotels.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 xml:space="preserve">Share-Based Compensation Expense: </w:t>
      </w:r>
      <w:r>
        <w:rPr>
          <w:rFonts w:ascii="Times New Roman;serif" w:hAnsi="Times New Roman;serif"/>
          <w:b w:val="false"/>
          <w:color w:val="000000"/>
          <w:sz w:val="20"/>
        </w:rPr>
        <w:t>We exclude share-based compensation expense as it is a non-cash item. This adjustment aligns with the calculation of Adjusted EBITDA for our financial covenant ratios under our credit facility, supporting consistency in our financial reporting and covenant compliance, as well as comparability with our peers.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Other Items</w:t>
      </w:r>
      <w:r>
        <w:rPr>
          <w:rFonts w:ascii="Times New Roman;serif" w:hAnsi="Times New Roman;serif"/>
          <w:b w:val="false"/>
          <w:color w:val="000000"/>
          <w:sz w:val="20"/>
        </w:rPr>
        <w:t>: From time to time we incur costs or realize gains that we consider outside the ordinary course of business and that we do not believe reflect the ongoing performance of the Company or our hotels. Such items may include, but are not limited to, the following: non-cash realized gains or losses on our deferred compensation plan assets; management or franchise contract termination fees; terminated transaction costs; gains or losses from legal settlements; costs incurred related to natural disasters; and gains on property insurance claim settlements, other than income related to business interruption insurance.</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derive Adjusted FFO, we exclude any unrealized fair value adjustments to interest rate swaps and the portion of our non-cash ground lease expense recognized as interest expense. We exclude these non-cash amounts because they do not reflect the underlying performance of the Company.</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Hotel Adjusted EBITDA</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Hotel Adjusted EBITDA provides our investors with a useful financial measure to evaluate our hotel operating performance, excluding the impact of our capital structure (primarily interest), our asset base (primarily depreciation and amortization), and our corporate-level expenses. With respect to Hotel Adjusted EBITDA, we believe that excluding the effect of corporate-level expenses provides a more complete understanding of the operating results over which individual hotels and third-party management companies have direct control. We believe property-level results provide investors with supplemental information on the ongoing operational performance of our hotels and effectiveness of the third-party management companies operating our business on a property-level basis. Hotel Adjusted EBITDA margins are calculated as Hotel Adjusted EBITDA divided by total hotel revenues.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following table is a reconciliation of our U.S. GAAP net income to EBITDA,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Adjusted EBITDA and Hotel Adjusted EBITDA (in thousands):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186" w:type="dxa"/>
        <w:jc w:val="center"/>
        <w:tblInd w:w="0" w:type="dxa"/>
        <w:tblLayout w:type="fixed"/>
        <w:tblCellMar>
          <w:top w:w="28" w:type="dxa"/>
          <w:left w:w="28" w:type="dxa"/>
          <w:bottom w:w="28" w:type="dxa"/>
          <w:right w:w="28" w:type="dxa"/>
        </w:tblCellMar>
      </w:tblPr>
      <w:tblGrid>
        <w:gridCol w:w="1498"/>
        <w:gridCol w:w="1313"/>
        <w:gridCol w:w="1328"/>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826"/>
        <w:gridCol w:w="109"/>
        <w:gridCol w:w="109"/>
        <w:gridCol w:w="109"/>
        <w:gridCol w:w="109"/>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related depreciation and amortization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hotel property,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EBITDA</w:t>
            </w:r>
            <w:r>
              <w:rPr>
                <w:rFonts w:ascii="Times New Roman;serif" w:hAnsi="Times New Roman;serif"/>
                <w:b/>
                <w:i/>
                <w:color w:val="000000"/>
                <w:sz w:val="20"/>
              </w:rPr>
              <w:t>re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expense </w:t>
            </w:r>
            <w:r>
              <w:rPr>
                <w:rFonts w:ascii="Times New Roman;serif" w:hAnsi="Times New Roman;serif"/>
                <w:b w:val="false"/>
                <w:color w:val="000000"/>
                <w:sz w:val="13"/>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Terminated transaction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Adjusted EBITDA</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(1)For each of the three months ended June 30, 2026 and 2025, amounts include less than $0.1 million of non-cash income related to our deferred compensation plan. For the six months ended June 30, 2026 and 2025, amounts include less than $0.1 million and $0.7 million, respectively, of non-cash income related to our deferred compensation plan.</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(2)Amount reflects the reversal of a previously recognized accrual related to a loss contingency.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our U.S. GAAP net income to FFO and Adjusted FFO (in thousands):</w:t>
      </w:r>
    </w:p>
    <w:tbl>
      <w:tblPr>
        <w:tblW w:w="10205" w:type="dxa"/>
        <w:jc w:val="center"/>
        <w:tblInd w:w="0" w:type="dxa"/>
        <w:tblLayout w:type="fixed"/>
        <w:tblCellMar>
          <w:top w:w="28" w:type="dxa"/>
          <w:left w:w="28" w:type="dxa"/>
          <w:bottom w:w="28" w:type="dxa"/>
          <w:right w:w="28" w:type="dxa"/>
        </w:tblCellMar>
      </w:tblPr>
      <w:tblGrid>
        <w:gridCol w:w="1401"/>
        <w:gridCol w:w="1203"/>
        <w:gridCol w:w="1220"/>
        <w:gridCol w:w="224"/>
        <w:gridCol w:w="764"/>
        <w:gridCol w:w="115"/>
        <w:gridCol w:w="115"/>
        <w:gridCol w:w="115"/>
        <w:gridCol w:w="115"/>
        <w:gridCol w:w="224"/>
        <w:gridCol w:w="764"/>
        <w:gridCol w:w="115"/>
        <w:gridCol w:w="211"/>
        <w:gridCol w:w="406"/>
        <w:gridCol w:w="109"/>
        <w:gridCol w:w="211"/>
        <w:gridCol w:w="826"/>
        <w:gridCol w:w="109"/>
        <w:gridCol w:w="109"/>
        <w:gridCol w:w="109"/>
        <w:gridCol w:w="109"/>
        <w:gridCol w:w="211"/>
        <w:gridCol w:w="826"/>
        <w:gridCol w:w="109"/>
        <w:gridCol w:w="109"/>
        <w:gridCol w:w="109"/>
        <w:gridCol w:w="109"/>
        <w:gridCol w:w="158"/>
      </w:tblGrid>
      <w:tr>
        <w:trPr/>
        <w:tc>
          <w:tcPr>
            <w:tcW w:w="140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related depreciation and amortization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hotel property,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preferred stockholders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available to common stock and unit holders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and other amortization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Share-based compensation expense </w:t>
            </w:r>
            <w:r>
              <w:rPr>
                <w:rFonts w:ascii="Times New Roman;serif" w:hAnsi="Times New Roman;serif"/>
                <w:b w:val="false"/>
                <w:color w:val="000000"/>
                <w:sz w:val="13"/>
              </w:rPr>
              <w:t>(1)</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Terminated transaction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pre-opening costs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FFO available to common stock and unit holders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(1)For each of the three months ended June 30, 2026 and 2025, amounts include less than $0.1 million of non-cash income related to our deferred compensation plan. For the six months ended June 30, 2026 and 2025, amounts include less than $0.1 million and $0.7 million, respectively, of non-cash income related to our deferred compensation plan.</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(2)Amount reflects the reversal of a previously recognized accrual related to a loss contingency.</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 and Policies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consolidated financial statements include the accounts of DiamondRock Hospitality Company and all consolidated subsidiaries. The preparation of financial statements in conformity with U.S. GAAP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materially different, application of these policies involves the exercise of judgment and the use of assumptions as to future uncertainties and, as a result, actual results could differ materially from these estimates. We evaluate our estimates and judgments, including those related to the impairment of long-lived assets, on an ongoing basis. We base our estimates on experience and on various assumptions that are believed to be reasonable under the circumstances. All of our significant accounting policies, including certain critical accounting policies, are disclosed in our Annual Report on Form 10-K for the year ended December 31, 2025. There have been no significant changes to our critical accounting policies during the reporting period since the year ended December 31, 2025.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Operators of hotels generally possess the ability to adjust room rates frequently, including on a daily basis, to respond to changes in market conditions and inflationary pressures, subject to previously contracted reservations. However, competitive pressures, demand elasticity, consumer spending patterns and other market factors may limit the ability of our management companies to increase room rates sufficiently to offset increases in operating costs. Inflation remains elevated relative to the Federal Reserve's long-term target, and operating costs continue to be influenced by market conditions, including labor costs, employee-related benefits, food, commodities and other materials, utilities, real estate taxes and the cost of capital improvements. Refer to “Outlook” above for additional information regarding current macroeconomic conditions.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periods during which our hotels experience higher revenues vary from property to property, depending principally upon location and the customer base served. Accordingly, we expect some seasonality in our business. Volatility in our financial performance from the seasonality of the lodging industry could adversely affect our financial condition and results of operations. </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risk includes risks that arise from changes in interest rates, foreign currency exchange rates, commodity prices, equity prices and other market changes that affect market sensitive instruments. In pursuing our business strategies, the primary market risk to which we are currently exposed and to which we expect to be exposed in the future is interest rate risk. The face amount of our outstanding debt as of June 30, 2026 was $1.1 billion, all of which had a variable interest rate. Our primary sensitivity in 2026 was to changes in one-month Secured Overnight Financing Rate (“SOFR”), as the interest rates on our variable-rate indebtedness were based on this benchmark rate. We use interest rate swaps in order to maintain what we believe to be an appropriate level of exposure to interest rate variability. As of June 30, 2026, the interest rate on $425 million of our variable-rate indebtedness had been effectively fixed through the use of interest rate swaps. In October 2025, we entered into an additional interest rate swap for a notional amount of $50 million, effective January 4, 2027, which will partially replace a maturing swap. We receive one-month SOFR and pay a fixed rate for all of our interest rate swaps. If market interest rates on our unhedged variable rate debt fluctuate by 100 basis points, interest expense would increase or decrease, depending on rate movement, future earnings and cash flows, by $6.8 million annually.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under the supervision and with the participation of the Company’s Chief Executive Officer and Chief Financial Officer, the effectiveness of the disclosure controls and procedures (as defined in Rules 13a-15(e) and 15d-15(e) under the Exchange Act) as required by paragraph (b) of Rules 13a-15 and 15d-15 under the Exchange Act, and has concluded that as of the end of the period covered by this report, the Company’s disclosure controls and procedures were effective to give reasonable assurances that information we disclose in reports filed with the Securities and Exchange Commission is recorded, processed, summarized and reported within the time periods specified in the Securities and Exchange Commission’s rules and forms.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the Company’s internal control over financial reporting identified in connection with the evaluation required by paragraph (d) of Rules 13a-15 and 15d-15 under the Exchange Act during the Company’s most recent fiscal quarter that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various claims, lawsuits and legal proceedings, including routine litigation arising in the ordinary course of business regarding the operation of our hotels and other company matters. While it is not possible to ascertain the ultimate outcome of such matters, management believes that the aggregate amount of such liabilities, if any, in excess of amounts covered by insurance will not have a material adverse impact on our financial condition or results of operations. The outcome of claims, lawsuits and legal proceedings brought against the Company, however, is subject to significant uncertainties.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righ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Company's Annual Report on Form 10-K for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(c)Issuer Purchases of Equity Securities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1"/>
        <w:gridCol w:w="301"/>
        <w:gridCol w:w="302"/>
        <w:gridCol w:w="109"/>
        <w:gridCol w:w="109"/>
        <w:gridCol w:w="109"/>
        <w:gridCol w:w="474"/>
        <w:gridCol w:w="474"/>
        <w:gridCol w:w="476"/>
        <w:gridCol w:w="109"/>
        <w:gridCol w:w="109"/>
        <w:gridCol w:w="109"/>
        <w:gridCol w:w="283"/>
        <w:gridCol w:w="827"/>
        <w:gridCol w:w="146"/>
        <w:gridCol w:w="109"/>
        <w:gridCol w:w="109"/>
        <w:gridCol w:w="109"/>
        <w:gridCol w:w="747"/>
        <w:gridCol w:w="747"/>
        <w:gridCol w:w="749"/>
        <w:gridCol w:w="109"/>
        <w:gridCol w:w="109"/>
        <w:gridCol w:w="109"/>
        <w:gridCol w:w="535"/>
        <w:gridCol w:w="2096"/>
        <w:gridCol w:w="399"/>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w:t>
            </w:r>
          </w:p>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b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w:t>
            </w:r>
          </w:p>
          <w:p>
            <w:pPr>
              <w:pStyle w:val="TableContents"/>
              <w:bidi w:val="0"/>
              <w:spacing w:lineRule="auto" w:line="240" w:before="0" w:after="0"/>
              <w:jc w:val="center"/>
              <w:rPr/>
            </w:pPr>
            <w:r>
              <w:rPr>
                <w:rFonts w:ascii="Times New Roman;serif" w:hAnsi="Times New Roman;serif"/>
                <w:b/>
                <w:color w:val="000000"/>
                <w:sz w:val="20"/>
              </w:rPr>
              <w:t xml:space="preserve">Maximum Approximate Dollar Value of Shares that May Yet be Purchased Under the Plans or Programs (in thousands) </w:t>
            </w:r>
            <w:r>
              <w:rPr>
                <w:rFonts w:ascii="Times New Roman;serif" w:hAnsi="Times New Roman;serif"/>
                <w:b/>
                <w:color w:val="000000"/>
                <w:sz w:val="13"/>
              </w:rPr>
              <w:t xml:space="preserve">(1) </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299,905 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(1)Through April 30, 2026, reflects the amount available under the previously approved $200 million share repurchase program. Beginning on May 1, 2026, reflects the amount available under the new share repurchase program, which authorizes us to repurchase up to $300 million of common stock. The new program will expire on May 1, 2028.</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shares surrendered to the Company by employees for payment of tax withholding obligations in connection with the vesting of restricted and performance stock and issuance of deferred stock. These shares are not part of the Company's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(a)</w:t>
      </w:r>
      <w:r>
        <w:rPr>
          <w:rFonts w:ascii="Times New Roman;serif" w:hAnsi="Times New Roman;serif"/>
          <w:b w:val="false"/>
          <w:i/>
          <w:color w:val="000000"/>
          <w:sz w:val="20"/>
        </w:rPr>
        <w:t>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indicated, as part of this Form 10-Q:</w:t>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715"/>
        <w:gridCol w:w="2598"/>
        <w:gridCol w:w="3684"/>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irstamendmentto.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the Seventh Amended and Restated Credit Agreement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11xjune302026.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Required by Rule 13a-14(a) and Rule 15d-14(a) of the Exchange Act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12xjune302026.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Required by Rule 13a-14(a) and Rule 15d-14(a) of the Exchange Act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rh_exhibit321xjune302026.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932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268202536394636954535ff9cee23e7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TextBody"/>
        <w:bidi w:val="0"/>
        <w:spacing w:before="0" w:after="0"/>
        <w:jc w:val="both"/>
        <w:rPr/>
      </w:pPr>
      <w:r>
        <w:rPr/>
      </w:r>
    </w:p>
    <w:tbl>
      <w:tblPr>
        <w:tblW w:w="6134" w:type="dxa"/>
        <w:jc w:val="left"/>
        <w:tblInd w:w="0" w:type="dxa"/>
        <w:tblLayout w:type="fixed"/>
        <w:tblCellMar>
          <w:top w:w="28" w:type="dxa"/>
          <w:left w:w="28" w:type="dxa"/>
          <w:bottom w:w="28" w:type="dxa"/>
          <w:right w:w="28" w:type="dxa"/>
        </w:tblCellMar>
      </w:tblPr>
      <w:tblGrid>
        <w:gridCol w:w="1961"/>
        <w:gridCol w:w="1725"/>
        <w:gridCol w:w="2448"/>
      </w:tblGrid>
      <w:tr>
        <w:trPr/>
        <w:tc>
          <w:tcPr>
            <w:tcW w:w="196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DiamondRock Hospitality Company</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6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M. Spierto</w:t>
            </w:r>
          </w:p>
        </w:tc>
      </w:tr>
      <w:tr>
        <w:trPr/>
        <w:tc>
          <w:tcPr>
            <w:tcW w:w="6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M. Spierto</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Corporate Controller</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FIRST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SEVENTH AMENDED AND RESTATED CREDIT AGREEMENT </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FIRST AMENDMENT TO SEVENTH AMENDED AND RESTATED CREDIT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dated as of July 15, 2026, by and among DIAMONDROCK HOSPITALITY LIMITED PARTNERSHIP, a limited partnership formed under the laws of the State of Delaware (the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DIAMONDROCK HOSPITALITY COMPANY, a corporation formed under the laws of the State of Maryland (the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and WELLS FARGO BANK, NATIONAL ASSOCIATION, as Administrative Agent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 on behalf of itself and the “Lenders” party to the Credit Agreement (collectively, “</w:t>
      </w:r>
      <w:r>
        <w:rPr>
          <w:rFonts w:ascii="Times New Roman;serif" w:hAnsi="Times New Roman;serif"/>
          <w:b/>
          <w:color w:val="000000"/>
          <w:sz w:val="24"/>
        </w:rPr>
        <w:t>Lenders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Borrower, the Parent, the Lenders, the Administrative Agent and certain other parties have entered into that certain Seventh Amended and Restated Credit Agreement, dated as of July 22, 2025 (as amended and in effect immediately prior to the effectiveness of this Amendment, the “</w:t>
      </w:r>
      <w:r>
        <w:rPr>
          <w:rFonts w:ascii="Times New Roman;serif" w:hAnsi="Times New Roman;serif"/>
          <w:b/>
          <w:color w:val="000000"/>
          <w:sz w:val="24"/>
        </w:rPr>
        <w:t>Credit Agreement</w:t>
      </w:r>
      <w:r>
        <w:rPr>
          <w:color w:val="000000"/>
        </w:rPr>
        <w:t>”</w:t>
      </w:r>
      <w:r>
        <w:rPr>
          <w:rFonts w:ascii="Times New Roman;serif" w:hAnsi="Times New Roman;serif"/>
          <w:b w:val="false"/>
          <w:color w:val="000000"/>
          <w:sz w:val="24"/>
        </w:rPr>
        <w:t>). Capitalized terms used herein and not otherwise defined herein shall have the respective meanings given to them in the Credit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the parties hereto desire to amend certain provisions of the Credit Agreement (as amended by this Amendment, the “</w:t>
      </w:r>
      <w:r>
        <w:rPr>
          <w:rFonts w:ascii="Times New Roman;serif" w:hAnsi="Times New Roman;serif"/>
          <w:b/>
          <w:color w:val="000000"/>
          <w:sz w:val="24"/>
        </w:rPr>
        <w:t>Amended Credit Agreement</w:t>
      </w:r>
      <w:r>
        <w:rPr>
          <w:color w:val="000000"/>
        </w:rPr>
        <w:t>”</w:t>
      </w:r>
      <w:r>
        <w:rPr>
          <w:rFonts w:ascii="Times New Roman;serif" w:hAnsi="Times New Roman;serif"/>
          <w:b w:val="false"/>
          <w:color w:val="000000"/>
          <w:sz w:val="24"/>
        </w:rPr>
        <w:t>) on the terms and conditions contained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are hereby acknowledged by the parties hereto, the parties hereto hereby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Specific Amendments to Credit Agreement</w:t>
      </w:r>
      <w:r>
        <w:rPr>
          <w:rFonts w:ascii="Times New Roman;serif" w:hAnsi="Times New Roman;serif"/>
          <w:b w:val="false"/>
          <w:color w:val="000000"/>
          <w:sz w:val="24"/>
        </w:rPr>
        <w:t>. Effective as of the date set forth above (the “</w:t>
      </w:r>
      <w:r>
        <w:rPr>
          <w:rFonts w:ascii="Times New Roman;serif" w:hAnsi="Times New Roman;serif"/>
          <w:b/>
          <w:color w:val="000000"/>
          <w:sz w:val="24"/>
        </w:rPr>
        <w:t>First Amendment Date</w:t>
      </w:r>
      <w:r>
        <w:rPr>
          <w:color w:val="000000"/>
        </w:rPr>
        <w:t>”</w:t>
      </w:r>
      <w:r>
        <w:rPr>
          <w:rFonts w:ascii="Times New Roman;serif" w:hAnsi="Times New Roman;serif"/>
          <w:b w:val="false"/>
          <w:color w:val="000000"/>
          <w:sz w:val="24"/>
        </w:rPr>
        <w:t xml:space="preserve">), the parties hereto agree that </w:t>
      </w:r>
      <w:r>
        <w:rPr>
          <w:rFonts w:ascii="Times New Roman;serif" w:hAnsi="Times New Roman;serif"/>
          <w:b w:val="false"/>
          <w:color w:val="000000"/>
          <w:sz w:val="24"/>
          <w:u w:val="single"/>
        </w:rPr>
        <w:t>Section 13.6(d)</w:t>
      </w:r>
      <w:r>
        <w:rPr>
          <w:color w:val="000000"/>
        </w:rPr>
        <w:t xml:space="preserve"> </w:t>
      </w:r>
      <w:r>
        <w:rPr>
          <w:rFonts w:ascii="Times New Roman;serif" w:hAnsi="Times New Roman;serif"/>
          <w:b w:val="false"/>
          <w:color w:val="000000"/>
          <w:sz w:val="24"/>
        </w:rPr>
        <w:t xml:space="preserve">of the Credit Agreement is hereby amended by deleting “July 22, 2026” and inserting “September 22, 2026” in lieu thereof.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Representations</w:t>
      </w:r>
      <w:r>
        <w:rPr>
          <w:rFonts w:ascii="Times New Roman;serif" w:hAnsi="Times New Roman;serif"/>
          <w:b w:val="false"/>
          <w:color w:val="000000"/>
          <w:sz w:val="24"/>
        </w:rPr>
        <w:t>. Each of the Parent and the Borrower represents and warrants to the Administrative Agent and the Lenders that:</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Authorization</w:t>
      </w:r>
      <w:r>
        <w:rPr>
          <w:rFonts w:ascii="Times New Roman;serif" w:hAnsi="Times New Roman;serif"/>
          <w:b w:val="false"/>
          <w:color w:val="000000"/>
          <w:sz w:val="24"/>
        </w:rPr>
        <w:t xml:space="preserve">. Each of the Borrower and the Parent has the right and power, and has taken all necessary action to authorize it, to execute and deliver this Amendment and to perform this Amendment and the Amended Credit Agreement in accordance with their respective terms and to consummate the transactions contemplated hereby and thereby. This Amendment has been duly executed and delivered by the duly authorized officers, agents and/or signatories of the Borrower and the Parent and this Amendment and the Amended Credit Agreement are legal, valid and binding obligations of such Person enforceable against such Person in accordance with its terms, except as the same may be limited by bankruptcy, insolvency, and other similar laws affecting the rights of creditors generally and the availability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of equitable remedies for the enforcement of certain obligations (other than the payment of principal) contained herein or therein and as may be limited by equitable principles generally.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Compliance with Laws, etc</w:t>
      </w:r>
      <w:r>
        <w:rPr>
          <w:rFonts w:ascii="Times New Roman;serif" w:hAnsi="Times New Roman;serif"/>
          <w:b w:val="false"/>
          <w:color w:val="000000"/>
          <w:sz w:val="24"/>
        </w:rPr>
        <w:t xml:space="preserve">. The execution and delivery of this Amendment and the performance of this Amendment and the Amended Credit Agreement in accordance with their respective terms and the borrowings do not and will not, by the passage of time, the giving of notice, or both: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No Default</w:t>
      </w:r>
      <w:r>
        <w:rPr>
          <w:rFonts w:ascii="Times New Roman;serif" w:hAnsi="Times New Roman;serif"/>
          <w:b w:val="false"/>
          <w:color w:val="000000"/>
          <w:sz w:val="24"/>
        </w:rPr>
        <w:t>. No Default or Event of Default has occurred and is continuing as of the date hereof, nor will exist immediately after giving effect to this Amendment.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Existing Representations and Warranties</w:t>
      </w:r>
      <w:r>
        <w:rPr>
          <w:rFonts w:ascii="Times New Roman;serif" w:hAnsi="Times New Roman;serif"/>
          <w:b w:val="false"/>
          <w:color w:val="000000"/>
          <w:sz w:val="24"/>
        </w:rPr>
        <w:t>. The representations and warranties made or deemed made by the Borrower or any other Loan Party in the Amended Credit Agreement or any other Loan Document to which such Loan Party is a party or which are contained in any certificate furnished in connection therewith are true and correct in all material respects (except in the case of a representation or warranty qualified by materiality, in which case such representation or warranty shall be true and correct in all respects) on and as of the date hereof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have been true and correct in all respects) on and as of such earlier date) and except for changes in factual circumstances specifically and expressly permitted under the Amended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Certain References</w:t>
      </w:r>
      <w:r>
        <w:rPr>
          <w:rFonts w:ascii="Times New Roman;serif" w:hAnsi="Times New Roman;serif"/>
          <w:b w:val="false"/>
          <w:color w:val="000000"/>
          <w:sz w:val="24"/>
        </w:rPr>
        <w:t>. Each reference to the Credit Agreement in any of the Loan Documents shall be deemed to be a reference to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Expenses</w:t>
      </w:r>
      <w:r>
        <w:rPr>
          <w:rFonts w:ascii="Times New Roman;serif" w:hAnsi="Times New Roman;serif"/>
          <w:b w:val="false"/>
          <w:color w:val="000000"/>
          <w:sz w:val="24"/>
        </w:rPr>
        <w:t>. The Borrower shall reimburse the Administrative Agent upon demand for all reasonable, documented out-of-pocket costs and expenses (including reasonable and documented attorneys’ fees) incurred by the Administrative Agent in connection with the preparation, negotiation and execution of this Amendment and the other agreements and documents executed and delivered in connection herewith.</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Benefits</w:t>
      </w:r>
      <w:r>
        <w:rPr>
          <w:rFonts w:ascii="Times New Roman;serif" w:hAnsi="Times New Roman;serif"/>
          <w:b w:val="false"/>
          <w:color w:val="000000"/>
          <w:sz w:val="24"/>
        </w:rPr>
        <w:t>. This Amendment shall be binding upon and shall inure to the benefit of the parties hereto and their respective successors and assigns.</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AMENDMENT SHALL BE GOVERNED BY, AND CONSTRUED IN ACCORDANCE WITH, THE LAWS OF THE STATE OF NEW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YORK APPLICABLE TO CONTRACTS EXECUTED, AND TO BE FULLY PERFORMED, IN SUCH STATE.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8. </w:t>
      </w:r>
      <w:r>
        <w:rPr>
          <w:rFonts w:ascii="Times New Roman;serif" w:hAnsi="Times New Roman;serif"/>
          <w:b w:val="false"/>
          <w:color w:val="000000"/>
          <w:sz w:val="24"/>
          <w:u w:val="single"/>
        </w:rPr>
        <w:t>Effect</w:t>
      </w:r>
      <w:r>
        <w:rPr>
          <w:rFonts w:ascii="Times New Roman;serif" w:hAnsi="Times New Roman;serif"/>
          <w:b w:val="false"/>
          <w:color w:val="000000"/>
          <w:sz w:val="24"/>
        </w:rPr>
        <w:t xml:space="preserve">. Except as expressly herein amended, the terms and conditions of the Credit Agreement and the other Loan Documents remain in full force and effect. The amendments contained in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hereof shall be deemed to have prospective application only from the date this Amendment becomes effective. The Credit Agreement, as herein amended, is hereby ratified and confirmed in all respects. Nothing in this Amendment shall limit, impair or constitute a waiver of the rights, powers or remedies available to the Administrative Agent or the Lenders under the Credit Agreement, as herein amended, or any other Loan Document.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9. </w:t>
      </w:r>
      <w:r>
        <w:rPr>
          <w:rFonts w:ascii="Times New Roman;serif" w:hAnsi="Times New Roman;serif"/>
          <w:b w:val="false"/>
          <w:color w:val="000000"/>
          <w:sz w:val="24"/>
          <w:u w:val="single"/>
        </w:rPr>
        <w:t>Release</w:t>
      </w:r>
      <w:r>
        <w:rPr>
          <w:rFonts w:ascii="Times New Roman;serif" w:hAnsi="Times New Roman;serif"/>
          <w:b w:val="false"/>
          <w:color w:val="000000"/>
          <w:sz w:val="24"/>
        </w:rPr>
        <w:t>. In consideration of the amendments and agreements contained herein, each Loan Party hereby waives and releases the Administrative Agent, each Lender, the Swingline Lender and the Issuing Banks from any and all claims and defenses, whether known or unknown, with respect to the Credit Agreement and the other Loan Documents and the transactions contemplated thereby to the extent any such claims and defenses have arisen on or prior to the date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10.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each of which shall be deemed to be an original and shall be binding upon all parties, their successors and assigns. Signatures hereto delivered by facsimile transmission, emailed .pdf file or other similar forms of electronic transmission shall be deemed original signatures, which hereby may be relied upon by all parties and shall be binding on the respective signatory.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Loan Documents</w:t>
      </w:r>
      <w:r>
        <w:rPr>
          <w:rFonts w:ascii="Times New Roman;serif" w:hAnsi="Times New Roman;serif"/>
          <w:b w:val="false"/>
          <w:color w:val="000000"/>
          <w:sz w:val="24"/>
        </w:rPr>
        <w:t>. This Amendment shall be deemed to be a “Loan Document” for all purposes under the Credit Agreement and the other Loan Documents.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First Amendment to Seventh Amended and Restated Credit Agreement to be executed as of the First Amendment Date.</w:t>
      </w:r>
    </w:p>
    <w:p>
      <w:pPr>
        <w:pStyle w:val="TextBody"/>
        <w:bidi w:val="0"/>
        <w:spacing w:before="0" w:after="0"/>
        <w:ind w:left="0" w:right="0" w:hanging="180"/>
        <w:jc w:val="left"/>
        <w:rPr/>
      </w:pPr>
      <w:r>
        <w:rPr/>
      </w:r>
    </w:p>
    <w:tbl>
      <w:tblPr>
        <w:tblW w:w="7587" w:type="dxa"/>
        <w:jc w:val="left"/>
        <w:tblInd w:w="0" w:type="dxa"/>
        <w:tblLayout w:type="fixed"/>
        <w:tblCellMar>
          <w:top w:w="28" w:type="dxa"/>
          <w:left w:w="28" w:type="dxa"/>
          <w:bottom w:w="28" w:type="dxa"/>
          <w:right w:w="28" w:type="dxa"/>
        </w:tblCellMar>
      </w:tblPr>
      <w:tblGrid>
        <w:gridCol w:w="124"/>
        <w:gridCol w:w="109"/>
        <w:gridCol w:w="109"/>
        <w:gridCol w:w="2122"/>
        <w:gridCol w:w="2122"/>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BORROWER:</w:t>
            </w:r>
          </w:p>
          <w:p>
            <w:pPr>
              <w:pStyle w:val="TableContents"/>
              <w:bidi w:val="0"/>
              <w:spacing w:before="0" w:after="0"/>
              <w:ind w:left="0" w:right="0" w:hanging="187"/>
              <w:jc w:val="left"/>
              <w:rPr/>
            </w:pPr>
            <w:r>
              <w:rPr/>
            </w:r>
          </w:p>
          <w:p>
            <w:pPr>
              <w:pStyle w:val="TableContents"/>
              <w:bidi w:val="0"/>
              <w:spacing w:lineRule="auto" w:line="288" w:before="0" w:after="0"/>
              <w:jc w:val="left"/>
              <w:rPr/>
            </w:pPr>
            <w:r>
              <w:rPr>
                <w:rFonts w:ascii="Times New Roman;serif" w:hAnsi="Times New Roman;serif"/>
                <w:b/>
                <w:color w:val="000000"/>
                <w:sz w:val="22"/>
              </w:rPr>
              <w:t>DIAMONDROCK HOSPITALITY LIMITED PARTNERSHIP</w:t>
            </w:r>
            <w:r>
              <w:rPr>
                <w:rFonts w:ascii="Times New Roman;serif" w:hAnsi="Times New Roman;serif"/>
                <w:b w:val="false"/>
                <w:color w:val="000000"/>
                <w:sz w:val="22"/>
              </w:rPr>
              <w:t>,</w:t>
              <w:br/>
              <w:t>a Delaware limited partnership</w:t>
            </w:r>
          </w:p>
          <w:p>
            <w:pPr>
              <w:pStyle w:val="TableContents"/>
              <w:bidi w:val="0"/>
              <w:spacing w:before="0" w:after="0"/>
              <w:ind w:left="0" w:right="0" w:hanging="187"/>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DiamondRock Hospitality Company,</w:t>
              <w:br/>
              <w:t xml:space="preserve">    a Maryland corporation, </w:t>
              <w:br/>
              <w:t>    its sole General Partner</w:t>
            </w:r>
          </w:p>
          <w:p>
            <w:pPr>
              <w:pStyle w:val="TableContents"/>
              <w:bidi w:val="0"/>
              <w:spacing w:before="0" w:after="0"/>
              <w:ind w:left="0" w:right="0" w:hanging="187"/>
              <w:jc w:val="left"/>
              <w:rPr/>
            </w:pPr>
            <w:r>
              <w:rPr/>
            </w:r>
          </w:p>
          <w:p>
            <w:pPr>
              <w:pStyle w:val="TableContents"/>
              <w:bidi w:val="0"/>
              <w:spacing w:before="0" w:after="0"/>
              <w:ind w:left="0" w:right="0" w:hanging="187"/>
              <w:jc w:val="left"/>
              <w:rPr/>
            </w:pPr>
            <w:r>
              <w:rPr/>
            </w:r>
          </w:p>
          <w:p>
            <w:pPr>
              <w:pStyle w:val="TableContents"/>
              <w:bidi w:val="0"/>
              <w:spacing w:lineRule="auto" w:line="288" w:before="0" w:after="0"/>
              <w:jc w:val="left"/>
              <w:rPr/>
            </w:pPr>
            <w:r>
              <w:rPr>
                <w:color w:val="000000"/>
              </w:rPr>
              <w:t>    </w:t>
            </w:r>
            <w:r>
              <w:rPr>
                <w:rFonts w:ascii="Times New Roman;serif" w:hAnsi="Times New Roman;serif"/>
                <w:b w:val="false"/>
                <w:color w:val="000000"/>
                <w:sz w:val="22"/>
              </w:rPr>
              <w:t>By:    </w:t>
            </w:r>
            <w:r>
              <w:rPr>
                <w:rFonts w:ascii="Times New Roman;serif" w:hAnsi="Times New Roman;serif"/>
                <w:b w:val="false"/>
                <w:color w:val="000000"/>
                <w:sz w:val="22"/>
                <w:u w:val="single"/>
              </w:rPr>
              <w:t>/s/ Briony Quinn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Name:    Briony Quinn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PARENT:</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4"/>
              </w:rPr>
              <w:t>DIAMONDROCK HOSPITALITY COMPANY</w:t>
            </w:r>
            <w:r>
              <w:rPr>
                <w:rFonts w:ascii="Times New Roman;serif" w:hAnsi="Times New Roman;serif"/>
                <w:b w:val="false"/>
                <w:color w:val="000000"/>
                <w:sz w:val="24"/>
              </w:rPr>
              <w:t>,</w:t>
              <w:br/>
              <w:t>a Maryland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Briony Quinn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Briony Quinn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Chief Financial Officer and     Treasurer</w:t>
            </w:r>
          </w:p>
        </w:tc>
      </w:tr>
    </w:tbl>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[Signature Pages Continue]</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First Amendment to </w:t>
                              <w:br/>
                              <w:t>Seventh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First Amendment to </w:t>
                        <w:br/>
                        <w:t>Seventh Amended and Restated Credit Agreement</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4"/>
        <w:gridCol w:w="109"/>
        <w:gridCol w:w="109"/>
        <w:gridCol w:w="1641"/>
        <w:gridCol w:w="1641"/>
        <w:gridCol w:w="2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ADMINISTRATIVE AGENT:</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color w:val="000000"/>
                <w:sz w:val="22"/>
              </w:rPr>
              <w:t>WELLS FARGO BANK, NATIONAL ASSOCIATION</w:t>
            </w:r>
            <w:r>
              <w:rPr>
                <w:rFonts w:ascii="Times New Roman;serif" w:hAnsi="Times New Roman;serif"/>
                <w:b w:val="false"/>
                <w:color w:val="000000"/>
                <w:sz w:val="22"/>
              </w:rPr>
              <w: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Administrative Agent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ableContents"/>
              <w:bidi w:val="0"/>
              <w:spacing w:before="0" w:after="0"/>
              <w:ind w:left="0" w:right="0" w:hanging="187"/>
              <w:jc w:val="left"/>
              <w:rPr/>
            </w:pPr>
            <w:r>
              <w:rPr/>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Russell Matthews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Russell Matthews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[End of Signature Pages]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First Amendment to </w:t>
                              <w:br/>
                              <w:t>Seventh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First Amendment to </w:t>
                        <w:br/>
                        <w:t>Seventh Amended and Restated Credit Agreement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 of Chief Executive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Rule 13a-14(a) and Rule 15d-14(a)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Jeffrey J. Donnelly,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DiamondRock Hospitality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Donnelly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 Donnelly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color w:val="000000"/>
        </w:rPr>
        <w:t>                                                 </w:t>
      </w: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 of Chief Financial Officer</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Rule 13a-14(a) and Rule 15d-14(a)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Briony R. Quinn,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DiamondRock Hospitality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3491" w:type="dxa"/>
        <w:jc w:val="left"/>
        <w:tblInd w:w="0" w:type="dxa"/>
        <w:tblLayout w:type="fixed"/>
        <w:tblCellMar>
          <w:top w:w="28" w:type="dxa"/>
          <w:left w:w="28" w:type="dxa"/>
          <w:bottom w:w="28" w:type="dxa"/>
          <w:right w:w="28" w:type="dxa"/>
        </w:tblCellMar>
      </w:tblPr>
      <w:tblGrid>
        <w:gridCol w:w="124"/>
        <w:gridCol w:w="109"/>
        <w:gridCol w:w="109"/>
        <w:gridCol w:w="919"/>
        <w:gridCol w:w="919"/>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Chief Financial Officer and Treasurer</w:t>
              <w:br/>
              <w:t>(Principal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Pursuant to 18 U.S.C. Section 1350</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officers, who are the Chief Executive Officer and Chief Financial Officer of DiamondRock Hospitality Company (the “Company”), each hereby certifies to the best of his or her knowledge, that the Company’s Quarterly Report on Form 10-Q (the “Report”) to which this certification is attached,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tbl>
      <w:tblPr>
        <w:tblW w:w="764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541"/>
        <w:gridCol w:w="1541"/>
        <w:gridCol w:w="2197"/>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 Donnelly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Briony R. Quinn</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J. Donnelly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Briony R. Quinn</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19298</Words>
  <Characters>106409</Characters>
  <CharactersWithSpaces>124314</CharactersWithSpaces>
  <Paragraphs>3132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