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180" w:after="283"/>
        <w:jc w:val="center"/>
        <w:rPr>
          <w:rFonts w:ascii="Times New Roman;serif" w:hAnsi="Times New Roman;serif"/>
          <w:b/>
          <w:color w:val="000000"/>
          <w:sz w:val="36"/>
        </w:rPr>
      </w:pPr>
      <w:r>
        <w:rPr>
          <w:rFonts w:ascii="Times New Roman;serif" w:hAnsi="Times New Roman;serif"/>
          <w:b/>
          <w:color w:val="000000"/>
          <w:sz w:val="36"/>
        </w:rPr>
        <w:t xml:space="preserve">FORM 8-K </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 PURSUANT TO</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SECTION 13 OR 15(d) OF THE</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SECURITIES EXCHANGE ACT OF 1934</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w:t>
      </w:r>
    </w:p>
    <w:p>
      <w:pPr>
        <w:pStyle w:val="TextBody"/>
        <w:bidi w:val="0"/>
        <w:spacing w:lineRule="auto" w:line="288" w:before="180" w:after="283"/>
        <w:jc w:val="center"/>
        <w:rPr/>
      </w:pPr>
      <w:r>
        <w:rPr>
          <w:rFonts w:ascii="Times New Roman;serif" w:hAnsi="Times New Roman;serif"/>
          <w:b/>
          <w:color w:val="000000"/>
          <w:sz w:val="24"/>
        </w:rPr>
        <w:t>July 30, 2026</w:t>
      </w:r>
      <w:r>
        <w:rPr>
          <w:color w:val="000000"/>
        </w:rPr>
        <w:t> </w:t>
      </w:r>
    </w:p>
    <w:p>
      <w:pPr>
        <w:pStyle w:val="TextBody"/>
        <w:bidi w:val="0"/>
        <w:spacing w:lineRule="auto" w:line="288" w:before="180" w:after="283"/>
        <w:jc w:val="center"/>
        <w:rPr>
          <w:rFonts w:ascii="Times New Roman;serif" w:hAnsi="Times New Roman;serif"/>
          <w:b/>
          <w:color w:val="000000"/>
          <w:sz w:val="48"/>
        </w:rPr>
      </w:pPr>
      <w:r>
        <w:rPr>
          <w:rFonts w:ascii="Times New Roman;serif" w:hAnsi="Times New Roman;serif"/>
          <w:b/>
          <w:color w:val="000000"/>
          <w:sz w:val="48"/>
        </w:rPr>
        <w:t xml:space="preserve">DiamondRock Hospitality Company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charter)</w:t>
      </w:r>
    </w:p>
    <w:tbl>
      <w:tblPr>
        <w:tblW w:w="5346" w:type="dxa"/>
        <w:jc w:val="left"/>
        <w:tblInd w:w="0" w:type="dxa"/>
        <w:tblLayout w:type="fixed"/>
        <w:tblCellMar>
          <w:top w:w="28" w:type="dxa"/>
          <w:left w:w="28" w:type="dxa"/>
          <w:bottom w:w="28" w:type="dxa"/>
          <w:right w:w="28" w:type="dxa"/>
        </w:tblCellMar>
      </w:tblPr>
      <w:tblGrid>
        <w:gridCol w:w="774"/>
        <w:gridCol w:w="682"/>
        <w:gridCol w:w="688"/>
        <w:gridCol w:w="109"/>
        <w:gridCol w:w="109"/>
        <w:gridCol w:w="109"/>
        <w:gridCol w:w="353"/>
        <w:gridCol w:w="353"/>
        <w:gridCol w:w="358"/>
        <w:gridCol w:w="109"/>
        <w:gridCol w:w="109"/>
        <w:gridCol w:w="109"/>
        <w:gridCol w:w="433"/>
        <w:gridCol w:w="433"/>
        <w:gridCol w:w="618"/>
      </w:tblGrid>
      <w:tr>
        <w:trPr/>
        <w:tc>
          <w:tcPr>
            <w:tcW w:w="77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14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4" w:type="dxa"/>
            <w:gridSpan w:val="3"/>
            <w:tcBorders/>
            <w:vAlign w:val="center"/>
          </w:tcPr>
          <w:p>
            <w:pPr>
              <w:pStyle w:val="TableContents"/>
              <w:bidi w:val="0"/>
              <w:spacing w:before="0" w:after="283"/>
              <w:jc w:val="left"/>
              <w:rPr>
                <w:sz w:val="4"/>
                <w:szCs w:val="4"/>
              </w:rPr>
            </w:pPr>
            <w:r>
              <w:rPr>
                <w:sz w:val="4"/>
                <w:szCs w:val="4"/>
              </w:rPr>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001-32514</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20-1180098</w:t>
            </w:r>
          </w:p>
        </w:tc>
      </w:tr>
      <w:tr>
        <w:trPr/>
        <w:tc>
          <w:tcPr>
            <w:tcW w:w="21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(IRS Employer</w:t>
              <w:br/>
              <w:t>Identification No.)</w:t>
            </w:r>
          </w:p>
        </w:tc>
      </w:tr>
    </w:tbl>
    <w:p>
      <w:pPr>
        <w:pStyle w:val="TextBody"/>
        <w:bidi w:val="0"/>
        <w:spacing w:lineRule="auto" w:line="288" w:before="80" w:after="283"/>
        <w:jc w:val="center"/>
        <w:rPr>
          <w:rFonts w:ascii="Times New Roman;serif" w:hAnsi="Times New Roman;serif"/>
          <w:b/>
          <w:color w:val="000000"/>
          <w:sz w:val="20"/>
        </w:rPr>
      </w:pPr>
      <w:r>
        <w:rPr>
          <w:rFonts w:ascii="Times New Roman;serif" w:hAnsi="Times New Roman;serif"/>
          <w:b/>
          <w:color w:val="000000"/>
          <w:sz w:val="20"/>
        </w:rPr>
        <w:t xml:space="preserve">7373 Wisconsin Avenue, Suite 1900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 xml:space="preserve">Bethesda, MD 20814 </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 (Zip Code)</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(Registrant’s telephone number, including area code): (240) 744-1150 </w:t>
      </w:r>
    </w:p>
    <w:p>
      <w:pPr>
        <w:pStyle w:val="TextBody"/>
        <w:bidi w:val="0"/>
        <w:spacing w:lineRule="auto" w:line="288" w:before="180" w:after="283"/>
        <w:jc w:val="left"/>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w:t>
      </w:r>
      <w:r>
        <w:rPr>
          <w:rFonts w:ascii="Times New Roman;serif" w:hAnsi="Times New Roman;serif"/>
          <w:b w:val="false"/>
          <w:i/>
          <w:color w:val="000000"/>
          <w:sz w:val="20"/>
        </w:rPr>
        <w:t>see</w:t>
      </w:r>
      <w:r>
        <w:rPr>
          <w:color w:val="000000"/>
        </w:rPr>
        <w:t xml:space="preserve"> </w:t>
      </w:r>
      <w:r>
        <w:rPr>
          <w:rFonts w:ascii="Times New Roman;serif" w:hAnsi="Times New Roman;serif"/>
          <w:b w:val="false"/>
          <w:color w:val="000000"/>
          <w:sz w:val="20"/>
        </w:rPr>
        <w:t>General Instruction A.2. below):</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Securities registered pursuant to Section 12(b) of the Act: </w:t>
      </w:r>
    </w:p>
    <w:tbl>
      <w:tblPr>
        <w:tblW w:w="8903" w:type="dxa"/>
        <w:jc w:val="center"/>
        <w:tblInd w:w="0" w:type="dxa"/>
        <w:tblLayout w:type="fixed"/>
        <w:tblCellMar>
          <w:top w:w="28" w:type="dxa"/>
          <w:left w:w="28" w:type="dxa"/>
          <w:bottom w:w="28" w:type="dxa"/>
          <w:right w:w="28" w:type="dxa"/>
        </w:tblCellMar>
      </w:tblPr>
      <w:tblGrid>
        <w:gridCol w:w="986"/>
        <w:gridCol w:w="867"/>
        <w:gridCol w:w="877"/>
        <w:gridCol w:w="109"/>
        <w:gridCol w:w="109"/>
        <w:gridCol w:w="109"/>
        <w:gridCol w:w="564"/>
        <w:gridCol w:w="564"/>
        <w:gridCol w:w="566"/>
        <w:gridCol w:w="109"/>
        <w:gridCol w:w="109"/>
        <w:gridCol w:w="109"/>
        <w:gridCol w:w="1118"/>
        <w:gridCol w:w="1118"/>
        <w:gridCol w:w="1589"/>
      </w:tblGrid>
      <w:tr>
        <w:trPr/>
        <w:tc>
          <w:tcPr>
            <w:tcW w:w="986" w:type="dxa"/>
            <w:tcBorders/>
            <w:vAlign w:val="center"/>
          </w:tcPr>
          <w:p>
            <w:pPr>
              <w:pStyle w:val="TableContents"/>
              <w:bidi w:val="0"/>
              <w:spacing w:before="0" w:after="283"/>
              <w:jc w:val="left"/>
              <w:rPr>
                <w:sz w:val="4"/>
                <w:szCs w:val="4"/>
              </w:rPr>
            </w:pPr>
            <w:r>
              <w:rPr>
                <w:sz w:val="4"/>
                <w:szCs w:val="4"/>
              </w:rPr>
            </w:r>
          </w:p>
        </w:tc>
        <w:tc>
          <w:tcPr>
            <w:tcW w:w="867" w:type="dxa"/>
            <w:tcBorders/>
            <w:vAlign w:val="center"/>
          </w:tcPr>
          <w:p>
            <w:pPr>
              <w:pStyle w:val="TableContents"/>
              <w:bidi w:val="0"/>
              <w:spacing w:before="0" w:after="283"/>
              <w:jc w:val="left"/>
              <w:rPr>
                <w:sz w:val="4"/>
                <w:szCs w:val="4"/>
              </w:rPr>
            </w:pPr>
            <w:r>
              <w:rPr>
                <w:sz w:val="4"/>
                <w:szCs w:val="4"/>
              </w:rPr>
            </w:r>
          </w:p>
        </w:tc>
        <w:tc>
          <w:tcPr>
            <w:tcW w:w="8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c>
          <w:tcPr>
            <w:tcW w:w="5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118" w:type="dxa"/>
            <w:tcBorders/>
            <w:vAlign w:val="center"/>
          </w:tcPr>
          <w:p>
            <w:pPr>
              <w:pStyle w:val="TableContents"/>
              <w:bidi w:val="0"/>
              <w:spacing w:before="0" w:after="283"/>
              <w:jc w:val="left"/>
              <w:rPr>
                <w:sz w:val="4"/>
                <w:szCs w:val="4"/>
              </w:rPr>
            </w:pPr>
            <w:r>
              <w:rPr>
                <w:sz w:val="4"/>
                <w:szCs w:val="4"/>
              </w:rPr>
            </w:r>
          </w:p>
        </w:tc>
        <w:tc>
          <w:tcPr>
            <w:tcW w:w="1589"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Name of each exchange on which registered</w:t>
            </w:r>
          </w:p>
        </w:tc>
      </w:tr>
      <w:tr>
        <w:trPr/>
        <w:tc>
          <w:tcPr>
            <w:tcW w:w="27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DRH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Stock Market LLC</w:t>
            </w:r>
          </w:p>
        </w:tc>
      </w:tr>
    </w:tbl>
    <w:p>
      <w:pPr>
        <w:pStyle w:val="TextBody"/>
        <w:bidi w:val="0"/>
        <w:spacing w:lineRule="auto" w:line="288" w:before="20" w:after="283"/>
        <w:ind w:left="0" w:right="0" w:firstLine="45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120" w:after="283"/>
        <w:ind w:left="0" w:right="0" w:firstLine="45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ind w:left="0" w:right="0" w:firstLine="450"/>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left"/>
        <w:rPr/>
      </w:pPr>
      <w:r>
        <w:rPr/>
      </w:r>
    </w:p>
    <w:p>
      <w:pPr>
        <w:pStyle w:val="TextBody"/>
        <w:bidi w:val="0"/>
        <w:spacing w:before="0" w:after="0"/>
        <w:jc w:val="center"/>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16"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both"/>
        <w:rPr>
          <w:rFonts w:ascii="Times New Roman;serif" w:hAnsi="Times New Roman;serif"/>
          <w:b w:val="false"/>
          <w:i/>
          <w:color w:val="000000"/>
          <w:sz w:val="22"/>
        </w:rPr>
      </w:pPr>
      <w:r>
        <w:rPr>
          <w:rFonts w:ascii="Times New Roman;serif" w:hAnsi="Times New Roman;serif"/>
          <w:b w:val="false"/>
          <w:i/>
          <w:color w:val="000000"/>
          <w:sz w:val="22"/>
        </w:rPr>
        <w:t>This Current Report on Form 8-K (“Current Report”) contains forward-looking statements within the meaning of federal securities laws and regulations. These forward-looking statements are identified by their use of terms and phrases such as “believe,” “expect,” “intend,” “project,” “anticipate,” “position,”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those risks and uncertainties described from time to time in our filings with the Securities and Exchange Commission, including our Annual Report on Form 10-K filed on February 27, 2026 and our Quarterly Report on Form 10-Q filed on April 30, 2026. Although we believe the expectations reflected in such forward-looking statements are based upon reasonable assumptions, we can give no assurance that the expectations will be attained or that any deviation will not be material. All information in this Current Report is as of the date of this Current Report, and we undertake no obligation to update any forward-looking statement to conform the statement to actual results or changes in our expectations.</w:t>
      </w:r>
    </w:p>
    <w:p>
      <w:pPr>
        <w:pStyle w:val="TextBody"/>
        <w:bidi w:val="0"/>
        <w:spacing w:before="0" w:after="0"/>
        <w:jc w:val="both"/>
        <w:rPr/>
      </w:pPr>
      <w:r>
        <w:rPr/>
      </w:r>
    </w:p>
    <w:p>
      <w:pPr>
        <w:pStyle w:val="TextBody"/>
        <w:bidi w:val="0"/>
        <w:spacing w:lineRule="auto" w:line="276" w:before="0" w:after="0"/>
        <w:jc w:val="both"/>
        <w:rPr>
          <w:rFonts w:ascii="Times New Roman;serif" w:hAnsi="Times New Roman;serif"/>
          <w:b/>
          <w:color w:val="000000"/>
          <w:sz w:val="22"/>
        </w:rPr>
      </w:pPr>
      <w:r>
        <w:rPr>
          <w:rFonts w:ascii="Times New Roman;serif" w:hAnsi="Times New Roman;serif"/>
          <w:b/>
          <w:color w:val="000000"/>
          <w:sz w:val="22"/>
        </w:rPr>
        <w:t>ITEM 2.02 Results of Operations and Financial Condition.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On July 30, 2026, DiamondRock Hospitality Company (the “Company”) issued a press release announcing its financial results for the three and six months ended June 30, 2026. A copy of that press release is furnished as Exhibit 99.1 and is incorporated by reference herein.</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The information furnished pursuant to this Item 2.02, including Exhibit 99.1, shall not be deemed “filed” for any purpose, including for the purposes of Section 18 of the Securities Exchange Act of 1934, as amended (the “Exchange Act”), or otherwise subject to the liabilities of that Section, and shall not be deemed to be incorporated by reference into any filing under the Securities Act of 1933, as amended (the “Securities Act”), or the Exchange Act, regardless of any general incorporation language in such filing.</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2"/>
        </w:rPr>
      </w:pPr>
      <w:r>
        <w:rPr>
          <w:rFonts w:ascii="Times New Roman;serif" w:hAnsi="Times New Roman;serif"/>
          <w:b/>
          <w:color w:val="000000"/>
          <w:sz w:val="22"/>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 xml:space="preserve">The following exhibits are included with this report: </w:t>
      </w:r>
    </w:p>
    <w:p>
      <w:pPr>
        <w:pStyle w:val="TextBody"/>
        <w:bidi w:val="0"/>
        <w:spacing w:lineRule="auto" w:line="288" w:before="0" w:after="0"/>
        <w:jc w:val="left"/>
        <w:rPr/>
      </w:pPr>
      <w:r>
        <w:rPr>
          <w:rFonts w:ascii="Times New Roman;serif" w:hAnsi="Times New Roman;serif"/>
          <w:b w:val="false"/>
          <w:color w:val="000000"/>
          <w:sz w:val="22"/>
          <w:u w:val="single"/>
        </w:rPr>
        <w:t>Exhibit No.</w:t>
      </w:r>
      <w:r>
        <w:rPr>
          <w:color w:val="000000"/>
        </w:rPr>
        <w:t xml:space="preserve"> </w:t>
      </w:r>
      <w:r>
        <w:rPr>
          <w:rFonts w:ascii="Times New Roman;serif" w:hAnsi="Times New Roman;serif"/>
          <w:b w:val="false"/>
          <w:color w:val="000000"/>
          <w:sz w:val="22"/>
          <w:u w:val="single"/>
        </w:rPr>
        <w:t>Description</w:t>
      </w:r>
    </w:p>
    <w:p>
      <w:pPr>
        <w:pStyle w:val="TextBody"/>
        <w:bidi w:val="0"/>
        <w:spacing w:lineRule="auto" w:line="288" w:before="0" w:after="0"/>
        <w:ind w:left="0" w:right="0" w:hanging="2160"/>
        <w:jc w:val="left"/>
        <w:rPr/>
      </w:pPr>
      <w:r>
        <w:rPr>
          <w:rFonts w:ascii="Times New Roman;serif" w:hAnsi="Times New Roman;serif"/>
          <w:b w:val="false"/>
          <w:color w:val="000000"/>
          <w:sz w:val="22"/>
        </w:rPr>
        <w:t>99.1     </w:t>
      </w:r>
      <w:hyperlink w:anchor="exhibit9912q2026.htm">
        <w:r>
          <w:rPr>
            <w:rStyle w:val="InternetLink"/>
          </w:rPr>
          <w:t xml:space="preserve">Press Release, dated </w:t>
        </w:r>
      </w:hyperlink>
      <w:hyperlink w:anchor="exhibit9912q2026.htm">
        <w:r>
          <w:rPr>
            <w:rStyle w:val="InternetLink"/>
          </w:rPr>
          <w:t>July</w:t>
        </w:r>
      </w:hyperlink>
      <w:hyperlink w:anchor="exhibit9912q2026.htm">
        <w:r>
          <w:rPr>
            <w:rStyle w:val="InternetLink"/>
          </w:rPr>
          <w:t xml:space="preserve"> 30, 2026</w:t>
        </w:r>
      </w:hyperlink>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101.SCH        Inline XBRL Taxonomy Extension Schema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101.CAL        Inline XBRL Taxonomy Extension Calculation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101.DEF        Inline XBRL Taxonomy Extension Definition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101.LAB        Inline XBRL Taxonomy Extension Label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101.PRE        Inline XBRL Taxonomy Extension Presentation Linkbase Document</w:t>
      </w:r>
    </w:p>
    <w:p>
      <w:pPr>
        <w:pStyle w:val="TextBody"/>
        <w:bidi w:val="0"/>
        <w:spacing w:lineRule="auto" w:line="288" w:before="0" w:after="0"/>
        <w:jc w:val="left"/>
        <w:rPr>
          <w:rFonts w:ascii="Times New Roman;serif" w:hAnsi="Times New Roman;serif"/>
          <w:b w:val="false"/>
          <w:color w:val="000000"/>
          <w:sz w:val="22"/>
        </w:rPr>
      </w:pPr>
      <w:r>
        <w:rPr>
          <w:rFonts w:ascii="Times New Roman;serif" w:hAnsi="Times New Roman;serif"/>
          <w:b w:val="false"/>
          <w:color w:val="000000"/>
          <w:sz w:val="22"/>
        </w:rPr>
        <w:t>104            Cover Page Interactive Data File</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76" w:before="0" w:after="0"/>
        <w:jc w:val="center"/>
        <w:rPr>
          <w:rFonts w:ascii="Times New Roman;serif" w:hAnsi="Times New Roman;serif"/>
          <w:b/>
          <w:color w:val="000000"/>
          <w:sz w:val="22"/>
        </w:rPr>
      </w:pPr>
      <w:r>
        <w:rPr>
          <w:rFonts w:ascii="Times New Roman;serif" w:hAnsi="Times New Roman;serif"/>
          <w:b/>
          <w:color w:val="000000"/>
          <w:sz w:val="22"/>
        </w:rPr>
        <w:t>SIGNATURE</w:t>
      </w:r>
    </w:p>
    <w:p>
      <w:pPr>
        <w:pStyle w:val="TextBody"/>
        <w:bidi w:val="0"/>
        <w:spacing w:before="180" w:after="283"/>
        <w:jc w:val="left"/>
        <w:rPr/>
      </w:pPr>
      <w:r>
        <w:rPr/>
      </w:r>
    </w:p>
    <w:p>
      <w:pPr>
        <w:pStyle w:val="TextBody"/>
        <w:bidi w:val="0"/>
        <w:spacing w:lineRule="auto" w:line="288" w:before="180" w:after="283"/>
        <w:jc w:val="left"/>
        <w:rPr>
          <w:rFonts w:ascii="Times New Roman;serif" w:hAnsi="Times New Roman;serif"/>
          <w:b w:val="false"/>
          <w:color w:val="000000"/>
          <w:sz w:val="22"/>
        </w:rPr>
      </w:pPr>
      <w:r>
        <w:rPr>
          <w:rFonts w:ascii="Times New Roman;serif" w:hAnsi="Times New Roman;serif"/>
          <w:b w:val="false"/>
          <w:color w:val="000000"/>
          <w:sz w:val="22"/>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640"/>
        <w:gridCol w:w="563"/>
        <w:gridCol w:w="567"/>
        <w:gridCol w:w="109"/>
        <w:gridCol w:w="109"/>
        <w:gridCol w:w="109"/>
        <w:gridCol w:w="109"/>
        <w:gridCol w:w="109"/>
        <w:gridCol w:w="109"/>
        <w:gridCol w:w="109"/>
        <w:gridCol w:w="109"/>
        <w:gridCol w:w="109"/>
        <w:gridCol w:w="418"/>
        <w:gridCol w:w="418"/>
        <w:gridCol w:w="418"/>
        <w:gridCol w:w="418"/>
        <w:gridCol w:w="418"/>
        <w:gridCol w:w="418"/>
        <w:gridCol w:w="1502"/>
        <w:gridCol w:w="1419"/>
        <w:gridCol w:w="2025"/>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502" w:type="dxa"/>
            <w:tcBorders/>
            <w:vAlign w:val="center"/>
          </w:tcPr>
          <w:p>
            <w:pPr>
              <w:pStyle w:val="TableContents"/>
              <w:bidi w:val="0"/>
              <w:spacing w:before="0" w:after="283"/>
              <w:jc w:val="left"/>
              <w:rPr>
                <w:sz w:val="4"/>
                <w:szCs w:val="4"/>
              </w:rPr>
            </w:pPr>
            <w:r>
              <w:rPr>
                <w:sz w:val="4"/>
                <w:szCs w:val="4"/>
              </w:rPr>
            </w:r>
          </w:p>
        </w:tc>
        <w:tc>
          <w:tcPr>
            <w:tcW w:w="1419"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54"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DIAMONDROCK HOSPITALITY COMPANY</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0"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Dated: July 30, 2026</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2"/>
              </w:rPr>
            </w:pPr>
            <w:r>
              <w:rPr>
                <w:rFonts w:ascii="Times New Roman;serif" w:hAnsi="Times New Roman;serif"/>
                <w:b w:val="false"/>
                <w:color w:val="000000"/>
                <w:sz w:val="22"/>
              </w:rPr>
              <w:t>By:</w:t>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2"/>
              </w:rPr>
            </w:pPr>
            <w:r>
              <w:rPr>
                <w:rFonts w:ascii="Times New Roman;serif" w:hAnsi="Times New Roman;serif"/>
                <w:b w:val="false"/>
                <w:color w:val="000000"/>
                <w:sz w:val="22"/>
              </w:rPr>
              <w:t>/s/ Briony R. Quinn</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Briony R. Quinn</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2"/>
              </w:rPr>
            </w:pPr>
            <w:r>
              <w:rPr>
                <w:rFonts w:ascii="Times New Roman;serif" w:hAnsi="Times New Roman;serif"/>
                <w:b w:val="false"/>
                <w:color w:val="000000"/>
                <w:sz w:val="22"/>
              </w:rPr>
              <w:t>Executive Vice President, Chief Financial Officer and Treasurer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ind w:left="0" w:right="0" w:firstLine="3420"/>
        <w:jc w:val="left"/>
        <w:rPr/>
      </w:pPr>
      <w:r>
        <w:rPr/>
        <w:drawing>
          <wp:inline distT="0" distB="0" distL="0" distR="0">
            <wp:extent cx="2095500" cy="1123950"/>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2095500" cy="1123950"/>
                    </a:xfrm>
                    <a:prstGeom prst="rect">
                      <a:avLst/>
                    </a:prstGeom>
                  </pic:spPr>
                </pic:pic>
              </a:graphicData>
            </a:graphic>
          </wp:inline>
        </w:drawing>
      </w:r>
    </w:p>
    <w:p>
      <w:pPr>
        <w:pStyle w:val="TextBody"/>
        <w:bidi w:val="0"/>
        <w:spacing w:lineRule="auto" w:line="288" w:before="0" w:after="0"/>
        <w:jc w:val="left"/>
        <w:rPr>
          <w:rFonts w:ascii="Lato Black;sans-serif" w:hAnsi="Lato Black;sans-serif"/>
          <w:b/>
          <w:color w:val="000000"/>
          <w:sz w:val="20"/>
          <w:u w:val="single"/>
        </w:rPr>
      </w:pPr>
      <w:r>
        <w:rPr>
          <w:rFonts w:ascii="Lato Black;sans-serif" w:hAnsi="Lato Black;sans-serif"/>
          <w:b/>
          <w:color w:val="000000"/>
          <w:sz w:val="20"/>
          <w:u w:val="single"/>
        </w:rPr>
        <w:t>COMPANY CONTACTS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Briony Quinn</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Chief Financial Officer</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(240) 744-1196</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Dori Kesten</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Capital Markets</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 xml:space="preserve">(617) 835-8366 </w:t>
      </w:r>
    </w:p>
    <w:p>
      <w:pPr>
        <w:pStyle w:val="TextBody"/>
        <w:bidi w:val="0"/>
        <w:spacing w:before="0" w:after="0"/>
        <w:jc w:val="left"/>
        <w:rPr/>
      </w:pPr>
      <w:r>
        <w:rPr/>
      </w:r>
    </w:p>
    <w:p>
      <w:pPr>
        <w:pStyle w:val="TextBody"/>
        <w:bidi w:val="0"/>
        <w:spacing w:lineRule="auto" w:line="331" w:before="0" w:after="120"/>
        <w:jc w:val="center"/>
        <w:rPr>
          <w:rFonts w:ascii="Lato Black;sans-serif" w:hAnsi="Lato Black;sans-serif"/>
          <w:b/>
          <w:color w:val="000000"/>
          <w:sz w:val="21"/>
        </w:rPr>
      </w:pPr>
      <w:r>
        <w:rPr>
          <w:rFonts w:ascii="Lato Black;sans-serif" w:hAnsi="Lato Black;sans-serif"/>
          <w:b/>
          <w:color w:val="000000"/>
          <w:sz w:val="21"/>
        </w:rPr>
        <w:t>DIAMONDROCK HOSPITALITY COMPANY REPORTS SECOND QUARTER 2026 RESULTS</w:t>
      </w:r>
    </w:p>
    <w:p>
      <w:pPr>
        <w:pStyle w:val="TextBody"/>
        <w:bidi w:val="0"/>
        <w:spacing w:lineRule="auto" w:line="331" w:before="0" w:after="120"/>
        <w:jc w:val="center"/>
        <w:rPr>
          <w:rFonts w:ascii="Lato;sans-serif" w:hAnsi="Lato;sans-serif"/>
          <w:b/>
          <w:i/>
          <w:color w:val="000000"/>
          <w:sz w:val="21"/>
        </w:rPr>
      </w:pPr>
      <w:r>
        <w:rPr>
          <w:rFonts w:ascii="Lato;sans-serif" w:hAnsi="Lato;sans-serif"/>
          <w:b/>
          <w:i/>
          <w:color w:val="000000"/>
          <w:sz w:val="21"/>
        </w:rPr>
        <w:t xml:space="preserve">Raises Full-Year Guidance and Increases Quarterly Common Dividend </w:t>
      </w:r>
    </w:p>
    <w:p>
      <w:pPr>
        <w:pStyle w:val="TextBody"/>
        <w:bidi w:val="0"/>
        <w:spacing w:lineRule="auto" w:line="331" w:before="240" w:after="60"/>
        <w:jc w:val="left"/>
        <w:rPr/>
      </w:pPr>
      <w:r>
        <w:rPr>
          <w:rFonts w:ascii="Lato;sans-serif" w:hAnsi="Lato;sans-serif"/>
          <w:b/>
          <w:color w:val="000000"/>
          <w:sz w:val="20"/>
        </w:rPr>
        <w:t xml:space="preserve">BETHESDA, Maryland, Thursday, July 30, 2026 – </w:t>
      </w:r>
      <w:r>
        <w:rPr>
          <w:rFonts w:ascii="Lato;sans-serif" w:hAnsi="Lato;sans-serif"/>
          <w:b w:val="false"/>
          <w:color w:val="000000"/>
          <w:sz w:val="20"/>
        </w:rPr>
        <w:t>DiamondRock Hospitality Company (Nasdaq: DRH, the "Company"), a lodging real estate investment trust that owns a portfolio of 34 premium hotels and resorts in the United States, today announced results of operations for the quarter ended June 30, 2026.</w:t>
      </w:r>
    </w:p>
    <w:p>
      <w:pPr>
        <w:pStyle w:val="TextBody"/>
        <w:bidi w:val="0"/>
        <w:spacing w:before="0" w:after="0"/>
        <w:jc w:val="left"/>
        <w:rPr/>
      </w:pPr>
      <w:r>
        <w:rPr/>
      </w:r>
    </w:p>
    <w:p>
      <w:pPr>
        <w:pStyle w:val="TextBody"/>
        <w:bidi w:val="0"/>
        <w:spacing w:lineRule="auto" w:line="288" w:before="0" w:after="240"/>
        <w:jc w:val="left"/>
        <w:rPr>
          <w:rFonts w:ascii="Lato Black;sans-serif" w:hAnsi="Lato Black;sans-serif"/>
          <w:b/>
          <w:color w:val="000000"/>
          <w:sz w:val="20"/>
        </w:rPr>
      </w:pPr>
      <w:r>
        <w:rPr>
          <w:rFonts w:ascii="Lato Black;sans-serif" w:hAnsi="Lato Black;sans-serif"/>
          <w:b/>
          <w:color w:val="000000"/>
          <w:sz w:val="20"/>
        </w:rPr>
        <w:t>SECOND QUARTER 2026 HIGHLIGHTS</w:t>
      </w:r>
    </w:p>
    <w:p>
      <w:pPr>
        <w:pStyle w:val="TextBody"/>
        <w:bidi w:val="0"/>
        <w:spacing w:lineRule="auto" w:line="288" w:before="0" w:after="60"/>
        <w:ind w:left="0" w:right="0" w:hanging="360"/>
        <w:jc w:val="left"/>
        <w:rPr/>
      </w:pPr>
      <w:r>
        <w:rPr>
          <w:color w:val="000000"/>
        </w:rPr>
        <w:t>•</w:t>
      </w:r>
      <w:r>
        <w:rPr>
          <w:rFonts w:ascii="Lato;sans-serif" w:hAnsi="Lato;sans-serif"/>
          <w:b/>
          <w:color w:val="000000"/>
          <w:sz w:val="20"/>
        </w:rPr>
        <w:t>Net Income:</w:t>
      </w:r>
      <w:r>
        <w:rPr>
          <w:color w:val="000000"/>
        </w:rPr>
        <w:t xml:space="preserve"> </w:t>
      </w:r>
      <w:r>
        <w:rPr>
          <w:rFonts w:ascii="Lato;sans-serif" w:hAnsi="Lato;sans-serif"/>
          <w:b w:val="false"/>
          <w:color w:val="000000"/>
          <w:sz w:val="20"/>
        </w:rPr>
        <w:t>Net income attributable to common stockholders was $90.5 million, or $0.44 per diluted share, an increase of 135.7% and 144.4%, respectively, compared to the second quarter of 2025.</w:t>
      </w:r>
    </w:p>
    <w:p>
      <w:pPr>
        <w:pStyle w:val="TextBody"/>
        <w:bidi w:val="0"/>
        <w:spacing w:lineRule="auto" w:line="288" w:before="0" w:after="60"/>
        <w:ind w:left="0" w:right="0" w:hanging="360"/>
        <w:jc w:val="left"/>
        <w:rPr/>
      </w:pPr>
      <w:r>
        <w:rPr>
          <w:color w:val="000000"/>
        </w:rPr>
        <w:t>•</w:t>
      </w:r>
      <w:r>
        <w:rPr>
          <w:rFonts w:ascii="Lato;sans-serif" w:hAnsi="Lato;sans-serif"/>
          <w:b/>
          <w:color w:val="000000"/>
          <w:sz w:val="20"/>
        </w:rPr>
        <w:t>Adjusted EBITDA:</w:t>
      </w:r>
      <w:r>
        <w:rPr>
          <w:color w:val="000000"/>
        </w:rPr>
        <w:t xml:space="preserve"> </w:t>
      </w:r>
      <w:r>
        <w:rPr>
          <w:rFonts w:ascii="Lato;sans-serif" w:hAnsi="Lato;sans-serif"/>
          <w:b w:val="false"/>
          <w:color w:val="000000"/>
          <w:sz w:val="20"/>
        </w:rPr>
        <w:t>$107.9 million, an increase of 19.2% compared to the second quarter of 2025.</w:t>
      </w:r>
    </w:p>
    <w:p>
      <w:pPr>
        <w:pStyle w:val="TextBody"/>
        <w:bidi w:val="0"/>
        <w:spacing w:lineRule="auto" w:line="288" w:before="0" w:after="60"/>
        <w:ind w:left="0" w:right="0" w:hanging="360"/>
        <w:jc w:val="left"/>
        <w:rPr/>
      </w:pPr>
      <w:r>
        <w:rPr>
          <w:color w:val="000000"/>
        </w:rPr>
        <w:t>•</w:t>
      </w:r>
      <w:r>
        <w:rPr>
          <w:rFonts w:ascii="Lato;sans-serif" w:hAnsi="Lato;sans-serif"/>
          <w:b/>
          <w:color w:val="000000"/>
          <w:sz w:val="20"/>
        </w:rPr>
        <w:t>Adjusted FFO per Diluted Share:</w:t>
      </w:r>
      <w:r>
        <w:rPr>
          <w:color w:val="000000"/>
        </w:rPr>
        <w:t xml:space="preserve"> </w:t>
      </w:r>
      <w:r>
        <w:rPr>
          <w:rFonts w:ascii="Lato;sans-serif" w:hAnsi="Lato;sans-serif"/>
          <w:b w:val="false"/>
          <w:color w:val="000000"/>
          <w:sz w:val="20"/>
        </w:rPr>
        <w:t xml:space="preserve">$0.44, an increase of 25.7% compared to the second quarter of 2025. </w:t>
      </w:r>
    </w:p>
    <w:p>
      <w:pPr>
        <w:pStyle w:val="TextBody"/>
        <w:bidi w:val="0"/>
        <w:spacing w:lineRule="auto" w:line="288" w:before="0" w:after="60"/>
        <w:ind w:left="0" w:right="0" w:hanging="360"/>
        <w:jc w:val="left"/>
        <w:rPr/>
      </w:pPr>
      <w:r>
        <w:rPr>
          <w:color w:val="000000"/>
        </w:rPr>
        <w:t>•</w:t>
      </w:r>
      <w:r>
        <w:rPr>
          <w:rFonts w:ascii="Lato;sans-serif" w:hAnsi="Lato;sans-serif"/>
          <w:b/>
          <w:color w:val="000000"/>
          <w:sz w:val="20"/>
        </w:rPr>
        <w:t>Comparable RevPAR:</w:t>
      </w:r>
      <w:r>
        <w:rPr>
          <w:color w:val="000000"/>
        </w:rPr>
        <w:t xml:space="preserve"> </w:t>
      </w:r>
      <w:r>
        <w:rPr>
          <w:rFonts w:ascii="Lato;sans-serif" w:hAnsi="Lato;sans-serif"/>
          <w:b w:val="false"/>
          <w:color w:val="000000"/>
          <w:sz w:val="20"/>
        </w:rPr>
        <w:t>$240.79, an increase of 7.0% compared to the second quarter of 2025.</w:t>
      </w:r>
    </w:p>
    <w:p>
      <w:pPr>
        <w:pStyle w:val="TextBody"/>
        <w:bidi w:val="0"/>
        <w:spacing w:lineRule="auto" w:line="288" w:before="0" w:after="60"/>
        <w:ind w:left="0" w:right="0" w:hanging="360"/>
        <w:jc w:val="left"/>
        <w:rPr/>
      </w:pPr>
      <w:r>
        <w:rPr>
          <w:color w:val="000000"/>
        </w:rPr>
        <w:t>•</w:t>
      </w:r>
      <w:r>
        <w:rPr>
          <w:rFonts w:ascii="Lato;sans-serif" w:hAnsi="Lato;sans-serif"/>
          <w:b/>
          <w:color w:val="000000"/>
          <w:sz w:val="20"/>
        </w:rPr>
        <w:t>Comparable Total RevPAR:</w:t>
      </w:r>
      <w:r>
        <w:rPr>
          <w:color w:val="000000"/>
        </w:rPr>
        <w:t xml:space="preserve"> </w:t>
      </w:r>
      <w:r>
        <w:rPr>
          <w:rFonts w:ascii="Lato;sans-serif" w:hAnsi="Lato;sans-serif"/>
          <w:b w:val="false"/>
          <w:color w:val="000000"/>
          <w:sz w:val="20"/>
        </w:rPr>
        <w:t>$370.06, an increase of 5.6% compared to the second quarter of 2025.</w:t>
      </w:r>
    </w:p>
    <w:p>
      <w:pPr>
        <w:pStyle w:val="TextBody"/>
        <w:bidi w:val="0"/>
        <w:spacing w:lineRule="auto" w:line="288" w:before="0" w:after="60"/>
        <w:ind w:left="0" w:right="0" w:hanging="360"/>
        <w:jc w:val="left"/>
        <w:rPr/>
      </w:pPr>
      <w:r>
        <w:rPr>
          <w:color w:val="000000"/>
        </w:rPr>
        <w:t>•</w:t>
      </w:r>
      <w:r>
        <w:rPr>
          <w:rFonts w:ascii="Lato;sans-serif" w:hAnsi="Lato;sans-serif"/>
          <w:b/>
          <w:color w:val="000000"/>
          <w:sz w:val="20"/>
        </w:rPr>
        <w:t>Comparable Hotel Adjusted EBITDA:</w:t>
      </w:r>
      <w:r>
        <w:rPr>
          <w:color w:val="000000"/>
        </w:rPr>
        <w:t xml:space="preserve"> </w:t>
      </w:r>
      <w:r>
        <w:rPr>
          <w:rFonts w:ascii="Lato;sans-serif" w:hAnsi="Lato;sans-serif"/>
          <w:b w:val="false"/>
          <w:color w:val="000000"/>
          <w:sz w:val="20"/>
        </w:rPr>
        <w:t xml:space="preserve">$113.2 million, an increase of 20.9% compared to the second quarter of 2025. The Company settled multi-year property tax appeals for its Chicago hotels in May 2026, which contributed approximately $6.9 million to Comparable Hotel Adjusted EBITDA. </w:t>
      </w:r>
    </w:p>
    <w:p>
      <w:pPr>
        <w:pStyle w:val="TextBody"/>
        <w:bidi w:val="0"/>
        <w:spacing w:lineRule="auto" w:line="288" w:before="0" w:after="60"/>
        <w:ind w:left="0" w:right="0" w:hanging="360"/>
        <w:jc w:val="left"/>
        <w:rPr/>
      </w:pPr>
      <w:r>
        <w:rPr>
          <w:color w:val="000000"/>
          <w:shd w:fill="FFFFFF" w:val="clear"/>
        </w:rPr>
        <w:t>•</w:t>
      </w:r>
      <w:r>
        <w:rPr>
          <w:rFonts w:ascii="Lato;sans-serif" w:hAnsi="Lato;sans-serif"/>
          <w:b/>
          <w:color w:val="000000"/>
          <w:sz w:val="20"/>
          <w:shd w:fill="FFFFFF" w:val="clear"/>
        </w:rPr>
        <w:t>Comparable Hotel Adjusted EBITDA Margin:</w:t>
      </w:r>
      <w:r>
        <w:rPr>
          <w:color w:val="000000"/>
          <w:shd w:fill="FFFFFF" w:val="clear"/>
        </w:rPr>
        <w:t xml:space="preserve"> </w:t>
      </w:r>
      <w:r>
        <w:rPr>
          <w:rFonts w:ascii="Lato;sans-serif" w:hAnsi="Lato;sans-serif"/>
          <w:b w:val="false"/>
          <w:color w:val="000000"/>
          <w:sz w:val="20"/>
          <w:shd w:fill="FFFFFF" w:val="clear"/>
        </w:rPr>
        <w:t>35.76%</w:t>
      </w:r>
      <w:r>
        <w:rPr>
          <w:rFonts w:ascii="Lato;sans-serif" w:hAnsi="Lato;sans-serif"/>
          <w:b w:val="false"/>
          <w:color w:val="000000"/>
          <w:sz w:val="20"/>
        </w:rPr>
        <w:t xml:space="preserve">, an increase of 457 basis points compared to the second quarter of 2025. Excluding the property tax settlements in Chicago, the Comparable Hotel Adjusted EBITDA Margin increased 239 basis points. </w:t>
      </w:r>
    </w:p>
    <w:p>
      <w:pPr>
        <w:pStyle w:val="TextBody"/>
        <w:bidi w:val="0"/>
        <w:spacing w:lineRule="auto" w:line="312" w:before="0" w:after="60"/>
        <w:ind w:left="0" w:right="0" w:hanging="360"/>
        <w:jc w:val="left"/>
        <w:rPr/>
      </w:pPr>
      <w:r>
        <w:rPr>
          <w:color w:val="000000"/>
        </w:rPr>
        <w:t>•</w:t>
      </w:r>
      <w:r>
        <w:rPr>
          <w:rFonts w:ascii="Lato;sans-serif" w:hAnsi="Lato;sans-serif"/>
          <w:b/>
          <w:color w:val="000000"/>
          <w:sz w:val="20"/>
        </w:rPr>
        <w:t>Hotel Disposition:</w:t>
      </w:r>
      <w:r>
        <w:rPr>
          <w:color w:val="000000"/>
        </w:rPr>
        <w:t xml:space="preserve"> </w:t>
      </w:r>
      <w:r>
        <w:rPr>
          <w:rFonts w:ascii="Lato;sans-serif" w:hAnsi="Lato;sans-serif"/>
          <w:b w:val="false"/>
          <w:color w:val="000000"/>
          <w:sz w:val="20"/>
        </w:rPr>
        <w:t>The Company completed the sale of the Courtyard New York Manhattan/Fifth Avenue for $33.0 million on May 1, 2026.</w:t>
      </w:r>
    </w:p>
    <w:p>
      <w:pPr>
        <w:pStyle w:val="TextBody"/>
        <w:bidi w:val="0"/>
        <w:spacing w:before="0" w:after="60"/>
        <w:jc w:val="left"/>
        <w:rPr/>
      </w:pPr>
      <w:r>
        <w:rPr/>
      </w:r>
    </w:p>
    <w:p>
      <w:pPr>
        <w:pStyle w:val="TextBody"/>
        <w:bidi w:val="0"/>
        <w:spacing w:lineRule="auto" w:line="312" w:before="0" w:after="240"/>
        <w:jc w:val="left"/>
        <w:rPr>
          <w:rFonts w:ascii="Lato Black;sans-serif" w:hAnsi="Lato Black;sans-serif"/>
          <w:b/>
          <w:color w:val="000000"/>
          <w:sz w:val="20"/>
        </w:rPr>
      </w:pPr>
      <w:r>
        <w:rPr>
          <w:rFonts w:ascii="Lato Black;sans-serif" w:hAnsi="Lato Black;sans-serif"/>
          <w:b/>
          <w:color w:val="000000"/>
          <w:sz w:val="20"/>
        </w:rPr>
        <w:t>RECENT DEVELOPMENT</w:t>
      </w:r>
    </w:p>
    <w:p>
      <w:pPr>
        <w:pStyle w:val="TextBody"/>
        <w:bidi w:val="0"/>
        <w:spacing w:lineRule="auto" w:line="312" w:before="0" w:after="60"/>
        <w:ind w:left="0" w:right="0" w:hanging="360"/>
        <w:jc w:val="left"/>
        <w:rPr/>
      </w:pPr>
      <w:r>
        <w:rPr>
          <w:color w:val="000000"/>
        </w:rPr>
        <w:t>•</w:t>
      </w:r>
      <w:r>
        <w:rPr>
          <w:rFonts w:ascii="Lato;sans-serif" w:hAnsi="Lato;sans-serif"/>
          <w:b/>
          <w:color w:val="000000"/>
          <w:sz w:val="20"/>
        </w:rPr>
        <w:t>Common Dividend:</w:t>
      </w:r>
      <w:r>
        <w:rPr>
          <w:color w:val="000000"/>
        </w:rPr>
        <w:t xml:space="preserve"> </w:t>
      </w:r>
      <w:r>
        <w:rPr>
          <w:rFonts w:ascii="Lato;sans-serif" w:hAnsi="Lato;sans-serif"/>
          <w:b w:val="false"/>
          <w:color w:val="000000"/>
          <w:sz w:val="20"/>
        </w:rPr>
        <w:t>On July 30, 2026, the Company's Board of Directors declared a regular quarterly cash dividend of $0.11 per share on its common stock, which represents an increase of 22% over the prior quarter dividend.</w:t>
      </w:r>
    </w:p>
    <w:p>
      <w:pPr>
        <w:pStyle w:val="TextBody"/>
        <w:bidi w:val="0"/>
        <w:spacing w:before="0" w:after="60"/>
        <w:jc w:val="left"/>
        <w:rPr/>
      </w:pPr>
      <w:r>
        <w:rPr/>
      </w:r>
    </w:p>
    <w:p>
      <w:pPr>
        <w:pStyle w:val="TextBody"/>
        <w:bidi w:val="0"/>
        <w:spacing w:lineRule="auto" w:line="276" w:before="0" w:after="60"/>
        <w:jc w:val="center"/>
        <w:rPr>
          <w:color w:val="000000"/>
        </w:rPr>
      </w:pPr>
      <w:r>
        <w:rPr>
          <w:color w:val="000000"/>
        </w:rPr>
        <w:t>“</w:t>
      </w:r>
      <w:r>
        <w:rPr>
          <w:rFonts w:ascii="Lato;sans-serif" w:hAnsi="Lato;sans-serif"/>
          <w:b w:val="false"/>
          <w:i/>
          <w:color w:val="000000"/>
          <w:sz w:val="20"/>
        </w:rPr>
        <w:t xml:space="preserve">Our second quarter demonstrated the earnings power of the DiamondRock portfolio. We delivered 7% RevPAR growth and held overall hotel expense growth to just 1.8%, driving exceptional margin expansion and earnings growth. While the World Cup provided a beneficial tailwind in several markets, our performance reflected much more than a single event. We saw broad-based strength in both group and transient demand, demonstrating the quality of our portfolio and the effectiveness of our operating strategy. </w:t>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20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0"/>
        <w:jc w:val="center"/>
        <w:rPr>
          <w:rFonts w:ascii="Lato;sans-serif" w:hAnsi="Lato;sans-serif"/>
          <w:b w:val="false"/>
          <w:i/>
          <w:color w:val="000000"/>
          <w:sz w:val="20"/>
        </w:rPr>
      </w:pPr>
      <w:r>
        <w:rPr>
          <w:rFonts w:ascii="Lato;sans-serif" w:hAnsi="Lato;sans-serif"/>
          <w:b w:val="false"/>
          <w:i/>
          <w:color w:val="000000"/>
          <w:sz w:val="20"/>
        </w:rPr>
        <w:t xml:space="preserve">Over the past twelve months, our free cash flow has increased 30%, providing further evidence that the DiamondRock 2.0 strategy is delivering results. Our focus remains on growing free cash flow through operational excellence, disciplined investment, and thoughtful capital allocation, which we believe is the clearest path to creating long-term shareholder value. </w:t>
      </w:r>
    </w:p>
    <w:p>
      <w:pPr>
        <w:pStyle w:val="TextBody"/>
        <w:bidi w:val="0"/>
        <w:spacing w:before="0" w:after="0"/>
        <w:jc w:val="center"/>
        <w:rPr/>
      </w:pPr>
      <w:r>
        <w:rPr/>
      </w:r>
    </w:p>
    <w:p>
      <w:pPr>
        <w:pStyle w:val="TextBody"/>
        <w:bidi w:val="0"/>
        <w:spacing w:lineRule="auto" w:line="288" w:before="0" w:after="0"/>
        <w:jc w:val="center"/>
        <w:rPr>
          <w:rFonts w:ascii="Lato;sans-serif" w:hAnsi="Lato;sans-serif"/>
          <w:b w:val="false"/>
          <w:i/>
          <w:color w:val="000000"/>
          <w:sz w:val="20"/>
        </w:rPr>
      </w:pPr>
      <w:r>
        <w:rPr>
          <w:rFonts w:ascii="Lato;sans-serif" w:hAnsi="Lato;sans-serif"/>
          <w:b w:val="false"/>
          <w:i/>
          <w:color w:val="000000"/>
          <w:sz w:val="20"/>
        </w:rPr>
        <w:t>Given the strength of our second quarter results and our confidence in the outlook for the remainder of the year, we are increasing our quarterly common dividend by more than 20% and raising our full-year guidance. We believe DiamondRock is well positioned to continue delivering strong earnings, growing free cash flow, and creating long-term value for our shareholders."</w:t>
      </w:r>
    </w:p>
    <w:p>
      <w:pPr>
        <w:pStyle w:val="TextBody"/>
        <w:bidi w:val="0"/>
        <w:spacing w:before="0" w:after="0"/>
        <w:jc w:val="center"/>
        <w:rPr/>
      </w:pPr>
      <w:r>
        <w:rPr/>
      </w:r>
    </w:p>
    <w:p>
      <w:pPr>
        <w:pStyle w:val="TextBody"/>
        <w:bidi w:val="0"/>
        <w:spacing w:lineRule="auto" w:line="288" w:before="0" w:after="0"/>
        <w:jc w:val="center"/>
        <w:rPr/>
      </w:pPr>
      <w:r>
        <w:rPr>
          <w:rFonts w:ascii="Lato;sans-serif" w:hAnsi="Lato;sans-serif"/>
          <w:b w:val="false"/>
          <w:color w:val="000000"/>
          <w:sz w:val="20"/>
        </w:rPr>
        <w:t xml:space="preserve">- </w:t>
      </w:r>
      <w:r>
        <w:rPr>
          <w:rFonts w:ascii="Lato;sans-serif" w:hAnsi="Lato;sans-serif"/>
          <w:b/>
          <w:color w:val="000000"/>
          <w:sz w:val="20"/>
        </w:rPr>
        <w:t>Jeffrey J. Donnelly, Chief Executive Officer of DiamondRock Hospitality Company</w:t>
      </w:r>
    </w:p>
    <w:p>
      <w:pPr>
        <w:pStyle w:val="TextBody"/>
        <w:bidi w:val="0"/>
        <w:spacing w:before="0" w:after="0"/>
        <w:jc w:val="center"/>
        <w:rPr/>
      </w:pPr>
      <w:r>
        <w:rPr/>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 xml:space="preserve">OPERATING RESULTS </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i/>
          <w:color w:val="000000"/>
          <w:sz w:val="20"/>
        </w:rPr>
      </w:pPr>
      <w:r>
        <w:rPr>
          <w:rFonts w:ascii="Lato;sans-serif" w:hAnsi="Lato;sans-serif"/>
          <w:b w:val="false"/>
          <w:i/>
          <w:color w:val="000000"/>
          <w:sz w:val="20"/>
        </w:rPr>
        <w:t xml:space="preserve">Please see “Non-GAAP Financial Measures” attached to this press release for an explanation of the terms “EBITDAre,” “Adjusted EBITDA,” “Hotel Adjusted EBITDA,” “Hotel Adjusted EBITDA Margin,” “FFO” and “Adjusted FFO” and a reconciliation of these measures to net income. “Comparable” operating results and statistics include all hotels owned as of June 30, 2026, for all periods presented. See “Comparable Hotel Operating Statistics and Results” and “Reconciliation of Comparable Operating Results” attached to this press release for an explanation of our comparable hotels and a reconciliation to historical amounts. “Actual” operating results and statistics include the operating results and statistics for all hotels for only the Company’s respective ownership periods. </w:t>
      </w:r>
    </w:p>
    <w:tbl>
      <w:tblPr>
        <w:tblW w:w="10205" w:type="dxa"/>
        <w:jc w:val="left"/>
        <w:tblInd w:w="0" w:type="dxa"/>
        <w:tblLayout w:type="fixed"/>
        <w:tblCellMar>
          <w:top w:w="28" w:type="dxa"/>
          <w:left w:w="28" w:type="dxa"/>
          <w:bottom w:w="28" w:type="dxa"/>
          <w:right w:w="28" w:type="dxa"/>
        </w:tblCellMar>
      </w:tblPr>
      <w:tblGrid>
        <w:gridCol w:w="717"/>
        <w:gridCol w:w="631"/>
        <w:gridCol w:w="634"/>
        <w:gridCol w:w="226"/>
        <w:gridCol w:w="826"/>
        <w:gridCol w:w="271"/>
        <w:gridCol w:w="226"/>
        <w:gridCol w:w="826"/>
        <w:gridCol w:w="271"/>
        <w:gridCol w:w="351"/>
        <w:gridCol w:w="355"/>
        <w:gridCol w:w="492"/>
        <w:gridCol w:w="109"/>
        <w:gridCol w:w="109"/>
        <w:gridCol w:w="109"/>
        <w:gridCol w:w="241"/>
        <w:gridCol w:w="885"/>
        <w:gridCol w:w="271"/>
        <w:gridCol w:w="241"/>
        <w:gridCol w:w="885"/>
        <w:gridCol w:w="271"/>
        <w:gridCol w:w="351"/>
        <w:gridCol w:w="355"/>
        <w:gridCol w:w="552"/>
      </w:tblGrid>
      <w:tr>
        <w:trPr/>
        <w:tc>
          <w:tcPr>
            <w:tcW w:w="717"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49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85"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351"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2"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Six Months Ended June 30,</w:t>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132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c>
          <w:tcPr>
            <w:tcW w:w="119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139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c>
          <w:tcPr>
            <w:tcW w:w="125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Change</w:t>
            </w:r>
          </w:p>
        </w:tc>
      </w:tr>
      <w:tr>
        <w:trPr/>
        <w:tc>
          <w:tcPr>
            <w:tcW w:w="19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23"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6"/>
              </w:rPr>
            </w:pPr>
            <w:r>
              <w:rPr>
                <w:rFonts w:ascii="Lato;sans-serif" w:hAnsi="Lato;sans-serif"/>
                <w:b w:val="false"/>
                <w:color w:val="000000"/>
                <w:sz w:val="16"/>
              </w:rPr>
              <w:t>(unaudited, $ amounts in millions, except hotel statistics and per share amounts)</w:t>
            </w:r>
          </w:p>
        </w:tc>
      </w:tr>
      <w:tr>
        <w:trPr/>
        <w:tc>
          <w:tcPr>
            <w:tcW w:w="198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000000"/>
                <w:sz w:val="18"/>
              </w:rPr>
              <w:t>Comparable Operating Results</w:t>
            </w:r>
            <w:r>
              <w:rPr>
                <w:rFonts w:ascii="Lato;sans-serif" w:hAnsi="Lato;sans-serif"/>
                <w:b/>
                <w:color w:val="000000"/>
                <w:sz w:val="12"/>
              </w:rPr>
              <w:t xml:space="preserve">(1) </w:t>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ADR</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308.50 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294.88 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4.6 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298.24 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287.45 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Occupancy</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78.1 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76.3 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1.8 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72.2 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71.5 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0.7 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RevPAR</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240.79 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225.03 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215.30 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205.47 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RevPAR</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370.06 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350.49 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335.44 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321.94 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4.2 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Room 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192.6 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366.4 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349.8 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4.7 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Revenues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300.0 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5.5 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548.1 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4.2 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Hotel Operating Expenses</w:t>
            </w:r>
            <w:r>
              <w:rPr>
                <w:rFonts w:ascii="Lato;sans-serif" w:hAnsi="Lato;sans-serif"/>
                <w:b w:val="false"/>
                <w:color w:val="000000"/>
                <w:sz w:val="12"/>
              </w:rPr>
              <w:t>(2)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203.3 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393.4 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(0.4)</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Hotel Adjusted EBITDA</w:t>
            </w:r>
            <w:r>
              <w:rPr>
                <w:rFonts w:ascii="Lato;sans-serif" w:hAnsi="Lato;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113.2 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93.6 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20.9 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154.7 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15.8 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Hotel Adjusted EBITDA Margin</w:t>
            </w:r>
            <w:r>
              <w:rPr>
                <w:rFonts w:ascii="Lato;sans-serif" w:hAnsi="Lato;sans-serif"/>
                <w:b w:val="false"/>
                <w:color w:val="000000"/>
                <w:sz w:val="12"/>
              </w:rPr>
              <w:t>(2)</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35.76 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19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457 bps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31.37 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12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28.23 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25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314 bps</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Available Rooms</w:t>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855,430 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855,946 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(516)</w:t>
            </w:r>
          </w:p>
        </w:tc>
        <w:tc>
          <w:tcPr>
            <w:tcW w:w="49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1,701,970 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1,702,486 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(516)</w:t>
            </w:r>
          </w:p>
        </w:tc>
        <w:tc>
          <w:tcPr>
            <w:tcW w:w="5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Actual Operating Results</w:t>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Revenues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318.3 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305.7 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4.1 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576.4 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560.6 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119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397" w:type="dxa"/>
            <w:gridSpan w:val="3"/>
            <w:tcBorders/>
            <w:vAlign w:val="center"/>
          </w:tcPr>
          <w:p>
            <w:pPr>
              <w:pStyle w:val="TableContents"/>
              <w:bidi w:val="0"/>
              <w:spacing w:before="0" w:after="283"/>
              <w:jc w:val="left"/>
              <w:rPr>
                <w:sz w:val="4"/>
                <w:szCs w:val="4"/>
              </w:rPr>
            </w:pPr>
            <w:r>
              <w:rPr>
                <w:sz w:val="4"/>
                <w:szCs w:val="4"/>
              </w:rPr>
            </w:r>
          </w:p>
        </w:tc>
        <w:tc>
          <w:tcPr>
            <w:tcW w:w="1258" w:type="dxa"/>
            <w:gridSpan w:val="3"/>
            <w:tcBorders/>
            <w:vAlign w:val="center"/>
          </w:tcPr>
          <w:p>
            <w:pPr>
              <w:pStyle w:val="TableContents"/>
              <w:bidi w:val="0"/>
              <w:spacing w:before="0" w:after="283"/>
              <w:jc w:val="left"/>
              <w:rPr>
                <w:sz w:val="4"/>
                <w:szCs w:val="4"/>
              </w:rPr>
            </w:pPr>
            <w:r>
              <w:rPr>
                <w:sz w:val="4"/>
                <w:szCs w:val="4"/>
              </w:rPr>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Net income attributable to common stockholders</w:t>
            </w:r>
            <w:r>
              <w:rPr>
                <w:rFonts w:ascii="Lato;sans-serif" w:hAnsi="Lato;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38.4 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135.7 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119.5 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Earnings (loss) per diluted share</w:t>
            </w:r>
            <w:r>
              <w:rPr>
                <w:rFonts w:ascii="Lato;sans-serif" w:hAnsi="Lato;sans-serif"/>
                <w:b w:val="false"/>
                <w:color w:val="000000"/>
                <w:sz w:val="12"/>
              </w:rPr>
              <w:t>(2)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0.44 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144.4 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0.51 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121.7 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Adjusted EBITDA</w:t>
            </w:r>
            <w:r>
              <w:rPr>
                <w:rFonts w:ascii="Lato;sans-serif" w:hAnsi="Lato;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19.2 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168.5 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146.6 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14.9 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Adjusted FFO</w:t>
            </w:r>
            <w:r>
              <w:rPr>
                <w:rFonts w:ascii="Lato;sans-serif" w:hAnsi="Lato;sans-serif"/>
                <w:b w:val="false"/>
                <w:color w:val="000000"/>
                <w:sz w:val="12"/>
              </w:rPr>
              <w:t>(2)</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27.0 </w:t>
            </w:r>
          </w:p>
        </w:tc>
        <w:tc>
          <w:tcPr>
            <w:tcW w:w="4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111.8 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23.3 </w:t>
            </w:r>
          </w:p>
        </w:tc>
        <w:tc>
          <w:tcPr>
            <w:tcW w:w="5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19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Adjusted FFO per diluted share</w:t>
            </w:r>
            <w:r>
              <w:rPr>
                <w:rFonts w:ascii="Lato;sans-serif" w:hAnsi="Lato;sans-serif"/>
                <w:b w:val="false"/>
                <w:color w:val="000000"/>
                <w:sz w:val="12"/>
              </w:rPr>
              <w:t>(2)</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0.44 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0.35 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25.7 </w:t>
            </w:r>
          </w:p>
        </w:tc>
        <w:tc>
          <w:tcPr>
            <w:tcW w:w="4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0.67 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8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0.53 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26.4 </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bl>
    <w:p>
      <w:pPr>
        <w:pStyle w:val="TextBody"/>
        <w:bidi w:val="0"/>
        <w:spacing w:lineRule="auto" w:line="288" w:before="0" w:after="0"/>
        <w:ind w:left="0" w:right="0" w:hanging="270"/>
        <w:jc w:val="left"/>
        <w:rPr/>
      </w:pPr>
      <w:r>
        <w:rPr>
          <w:rFonts w:ascii="Lato;sans-serif" w:hAnsi="Lato;sans-serif"/>
          <w:b w:val="false"/>
          <w:color w:val="000000"/>
          <w:sz w:val="10"/>
        </w:rPr>
        <w:t xml:space="preserve">(1) </w:t>
      </w:r>
      <w:r>
        <w:rPr>
          <w:rFonts w:ascii="Lato;sans-serif" w:hAnsi="Lato;sans-serif"/>
          <w:b w:val="false"/>
          <w:color w:val="000000"/>
          <w:sz w:val="16"/>
        </w:rPr>
        <w:t xml:space="preserve">Amounts exclude the operating results for the Courtyard New York Manhattan/ Fifth Avenue sold on May 1, 2026 and the Westin Washington D.C. City Center sold on February 19, 2025. </w:t>
      </w:r>
    </w:p>
    <w:p>
      <w:pPr>
        <w:pStyle w:val="TextBody"/>
        <w:bidi w:val="0"/>
        <w:spacing w:lineRule="auto" w:line="288" w:before="0" w:after="0"/>
        <w:ind w:left="0" w:right="0" w:hanging="270"/>
        <w:jc w:val="left"/>
        <w:rPr/>
      </w:pPr>
      <w:r>
        <w:rPr>
          <w:rFonts w:ascii="Lato;sans-serif" w:hAnsi="Lato;sans-serif"/>
          <w:b w:val="false"/>
          <w:color w:val="000000"/>
          <w:sz w:val="10"/>
        </w:rPr>
        <w:t xml:space="preserve">(2) </w:t>
      </w:r>
      <w:r>
        <w:rPr>
          <w:rFonts w:ascii="Lato;sans-serif" w:hAnsi="Lato;sans-serif"/>
          <w:b w:val="false"/>
          <w:color w:val="000000"/>
          <w:sz w:val="16"/>
        </w:rPr>
        <w:t>Includes the one-time benefit of approximately $6.9 million recognized in the second quarter of 2026 as a result of a favorable settlement of multi-year property tax appeals for the Company's two Chicago hotels. Excluding this benefit, for the three months ended June 30, 2026, Comparable Hotel Operating Expenses increased 1.8%, Comparable Hotel Adjusted EBITDA Margin increased 239 basis points and Adjusted FFO per diluted share was $0.41.</w:t>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450215"/>
                <wp:effectExtent l="0" t="0" r="0" b="0"/>
                <wp:wrapNone/>
                <wp:docPr id="6" name="Frame5"/>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2</w:t>
                      </w:r>
                    </w:p>
                  </w:txbxContent>
                </v:textbox>
                <w10:wrap type="none"/>
              </v:rect>
            </w:pict>
          </mc:Fallback>
        </mc:AlternateContent>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HOTEL DISPOSITION</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 xml:space="preserve">On May 1, 2026, the Company completed the sale of its leasehold interest in the 189-room Courtyard New York Manhattan/Fifth Avenue for $33.0 million. The sales price represents a 6.3x multiple on 2025 Hotel Adjusted EBITDA and a 13.3% capitalization rate on 2025 Hotel Net Operating Income. Inclusive of $12 million of capital expenditures required to be spent in the next 12 months, a contractual increase in the ground lease payment, and higher labor costs over the next several years, the Company estimates the stabilized capitalization rate on the sale to be approximately 7.8%, or 6.5% on a fee simple basis.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CAPITAL EXPENDITURES</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Company invested approximately $40.3 million in capital improvements during the six months ended June 30, 2026. The Company currently expects to invest approximately $75 to $85 million in capital improvements at its hotels in 2026. Significant projects in 2026 include the following:</w:t>
      </w:r>
    </w:p>
    <w:p>
      <w:pPr>
        <w:pStyle w:val="TextBody"/>
        <w:bidi w:val="0"/>
        <w:spacing w:before="0" w:after="0"/>
        <w:jc w:val="left"/>
        <w:rPr/>
      </w:pPr>
      <w:r>
        <w:rPr/>
      </w:r>
    </w:p>
    <w:p>
      <w:pPr>
        <w:pStyle w:val="TextBody"/>
        <w:bidi w:val="0"/>
        <w:spacing w:lineRule="auto" w:line="288" w:before="0" w:after="60"/>
        <w:ind w:left="0" w:right="0" w:hanging="360"/>
        <w:jc w:val="left"/>
        <w:rPr/>
      </w:pPr>
      <w:r>
        <w:rPr>
          <w:color w:val="000000"/>
        </w:rPr>
        <w:t>•</w:t>
      </w:r>
      <w:r>
        <w:rPr>
          <w:rFonts w:ascii="Lato;sans-serif" w:hAnsi="Lato;sans-serif"/>
          <w:b/>
          <w:i/>
          <w:color w:val="000000"/>
          <w:sz w:val="20"/>
        </w:rPr>
        <w:t xml:space="preserve">Courtyard New York Manhattan/Midtown East: </w:t>
      </w:r>
      <w:r>
        <w:rPr>
          <w:rFonts w:ascii="Lato;sans-serif" w:hAnsi="Lato;sans-serif"/>
          <w:b w:val="false"/>
          <w:color w:val="000000"/>
          <w:sz w:val="20"/>
        </w:rPr>
        <w:t>The Company completed a renovation of the hotel's guestrooms during the first quarter of 2026.</w:t>
      </w:r>
    </w:p>
    <w:p>
      <w:pPr>
        <w:pStyle w:val="TextBody"/>
        <w:bidi w:val="0"/>
        <w:spacing w:lineRule="auto" w:line="288" w:before="0" w:after="60"/>
        <w:ind w:left="0" w:right="0" w:hanging="360"/>
        <w:jc w:val="left"/>
        <w:rPr/>
      </w:pPr>
      <w:r>
        <w:rPr>
          <w:color w:val="000000"/>
        </w:rPr>
        <w:t>•</w:t>
      </w:r>
      <w:r>
        <w:rPr>
          <w:rFonts w:ascii="Lato;sans-serif" w:hAnsi="Lato;sans-serif"/>
          <w:b/>
          <w:i/>
          <w:color w:val="000000"/>
          <w:sz w:val="20"/>
        </w:rPr>
        <w:t xml:space="preserve">Henderson Park Inn: </w:t>
      </w:r>
      <w:r>
        <w:rPr>
          <w:rFonts w:ascii="Lato;sans-serif" w:hAnsi="Lato;sans-serif"/>
          <w:b w:val="false"/>
          <w:color w:val="000000"/>
          <w:sz w:val="20"/>
        </w:rPr>
        <w:t>The Company completed a renovation of the hotel's guestrooms and bathrooms during the first quarter of 2026.</w:t>
      </w:r>
    </w:p>
    <w:p>
      <w:pPr>
        <w:pStyle w:val="TextBody"/>
        <w:bidi w:val="0"/>
        <w:spacing w:lineRule="auto" w:line="288" w:before="0" w:after="60"/>
        <w:ind w:left="0" w:right="0" w:hanging="360"/>
        <w:jc w:val="left"/>
        <w:rPr/>
      </w:pPr>
      <w:r>
        <w:rPr>
          <w:color w:val="000000"/>
        </w:rPr>
        <w:t>•</w:t>
      </w:r>
      <w:r>
        <w:rPr>
          <w:rFonts w:ascii="Lato;sans-serif" w:hAnsi="Lato;sans-serif"/>
          <w:b/>
          <w:i/>
          <w:color w:val="000000"/>
          <w:sz w:val="20"/>
        </w:rPr>
        <w:t xml:space="preserve">Westin San Diego Bayview: </w:t>
      </w:r>
      <w:r>
        <w:rPr>
          <w:rFonts w:ascii="Lato;sans-serif" w:hAnsi="Lato;sans-serif"/>
          <w:b w:val="false"/>
          <w:color w:val="000000"/>
          <w:sz w:val="20"/>
        </w:rPr>
        <w:t>The Company expects to commence a renovation of the hotel's entrance and lobby, including the lobby bar, during the third quarter of 2026.</w:t>
      </w:r>
    </w:p>
    <w:p>
      <w:pPr>
        <w:pStyle w:val="TextBody"/>
        <w:bidi w:val="0"/>
        <w:spacing w:lineRule="auto" w:line="288" w:before="0" w:after="60"/>
        <w:ind w:left="0" w:right="0" w:hanging="360"/>
        <w:jc w:val="left"/>
        <w:rPr/>
      </w:pPr>
      <w:r>
        <w:rPr>
          <w:color w:val="000000"/>
        </w:rPr>
        <w:t>•</w:t>
      </w:r>
      <w:r>
        <w:rPr>
          <w:rFonts w:ascii="Lato;sans-serif" w:hAnsi="Lato;sans-serif"/>
          <w:b/>
          <w:i/>
          <w:color w:val="000000"/>
          <w:sz w:val="20"/>
        </w:rPr>
        <w:t xml:space="preserve">Atlanta Marriott Alpharetta: </w:t>
      </w:r>
      <w:r>
        <w:rPr>
          <w:rFonts w:ascii="Lato;sans-serif" w:hAnsi="Lato;sans-serif"/>
          <w:b w:val="false"/>
          <w:color w:val="000000"/>
          <w:sz w:val="20"/>
        </w:rPr>
        <w:t>The Company expects to commence a renovation of the hotel's guestrooms during the fourth quarter of 2026.</w:t>
      </w:r>
    </w:p>
    <w:p>
      <w:pPr>
        <w:pStyle w:val="TextBody"/>
        <w:bidi w:val="0"/>
        <w:spacing w:before="0" w:after="60"/>
        <w:jc w:val="left"/>
        <w:rPr/>
      </w:pPr>
      <w:r>
        <w:rPr/>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BALANCE SHEET</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As of June 30, 2026, the Company had total debt outstanding of $1.1 billion, consisting of three unsecured term loans with a weighted average interest rate of 4.9%, $400 million available under its undrawn revolving credit facility, and approximately $106.0 million of unrestricted cash on hand.</w:t>
      </w:r>
    </w:p>
    <w:p>
      <w:pPr>
        <w:pStyle w:val="TextBody"/>
        <w:bidi w:val="0"/>
        <w:spacing w:before="0" w:after="0"/>
        <w:jc w:val="left"/>
        <w:rPr/>
      </w:pPr>
      <w:r>
        <w:rPr/>
      </w:r>
    </w:p>
    <w:p>
      <w:pPr>
        <w:pStyle w:val="TextBody"/>
        <w:bidi w:val="0"/>
        <w:spacing w:lineRule="auto" w:line="288" w:before="0" w:after="240"/>
        <w:jc w:val="left"/>
        <w:rPr>
          <w:rFonts w:ascii="Lato Black;sans-serif" w:hAnsi="Lato Black;sans-serif"/>
          <w:b/>
          <w:color w:val="000000"/>
          <w:sz w:val="20"/>
        </w:rPr>
      </w:pPr>
      <w:r>
        <w:rPr>
          <w:rFonts w:ascii="Lato Black;sans-serif" w:hAnsi="Lato Black;sans-serif"/>
          <w:b/>
          <w:color w:val="000000"/>
          <w:sz w:val="20"/>
        </w:rPr>
        <w:t>COMMON SHARE REPURCHASE PROGRAM</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On April 28, 2026, the Company's Board of Directors authorized a new $300.0 million share repurchase program, effective May 1, 2026, which replaces the previous $200.0 million repurchase program that was authorized in May 2024. During the quarter ended June 30, 2026, the Company repurchased 0.2 million shares of its common stock at an average price of $9.79 per share for a total purchase price of $1.9 million. The Company currently has $299.4 million of remaining capacity under its $300.0 million share repurchase program.</w:t>
      </w:r>
    </w:p>
    <w:p>
      <w:pPr>
        <w:pStyle w:val="TextBody"/>
        <w:bidi w:val="0"/>
        <w:spacing w:before="0" w:after="0"/>
        <w:jc w:val="left"/>
        <w:rPr/>
      </w:pPr>
      <w:r>
        <w:rPr/>
      </w:r>
    </w:p>
    <w:p>
      <w:pPr>
        <w:pStyle w:val="TextBody"/>
        <w:bidi w:val="0"/>
        <w:spacing w:lineRule="auto" w:line="288" w:before="0" w:after="240"/>
        <w:jc w:val="left"/>
        <w:rPr>
          <w:rFonts w:ascii="Lato Black;sans-serif" w:hAnsi="Lato Black;sans-serif"/>
          <w:b/>
          <w:color w:val="000000"/>
          <w:sz w:val="20"/>
        </w:rPr>
      </w:pPr>
      <w:r>
        <w:rPr>
          <w:rFonts w:ascii="Lato Black;sans-serif" w:hAnsi="Lato Black;sans-serif"/>
          <w:b/>
          <w:color w:val="000000"/>
          <w:sz w:val="20"/>
        </w:rPr>
        <w:t>DIVIDENDS</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Company's Board of Directors declared a second quarter cash dividend of $0.09 per share to stockholders of record as of June 30, 2026. The second quarter dividend was paid on July 14, 2026.</w:t>
      </w:r>
    </w:p>
    <w:p>
      <w:pPr>
        <w:pStyle w:val="TextBody"/>
        <w:bidi w:val="0"/>
        <w:spacing w:before="0" w:after="0"/>
        <w:jc w:val="left"/>
        <w:rPr/>
      </w:pPr>
      <w:r>
        <w:rPr/>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 xml:space="preserve">On July 30, 2026, the Company's Board of Directors declared a third quarter 2026 cash dividend of $0.11 per share, which represents an increase of 22% over the second quarter dividend. The dividend will be paid on October 14, 2026 to stockholders of record as of September 30, 2026. The Company expects to declare regular quarterly dividends of $0.11 per common share for the remainder of 2026 and, depending on its 2026 operating income, a stub dividend in the fourth quarter of 2026. </w:t>
      </w:r>
    </w:p>
    <w:p>
      <w:pPr>
        <w:pStyle w:val="TextBody"/>
        <w:bidi w:val="0"/>
        <w:spacing w:before="0" w:after="0"/>
        <w:jc w:val="left"/>
        <w:rPr/>
      </w:pPr>
      <w:r>
        <w:rPr/>
      </w:r>
    </w:p>
    <w:p>
      <w:pPr>
        <w:pStyle w:val="TextBody"/>
        <w:bidi w:val="0"/>
        <w:spacing w:lineRule="auto" w:line="288" w:before="0" w:after="240"/>
        <w:jc w:val="left"/>
        <w:rPr>
          <w:rFonts w:ascii="Lato Black;sans-serif" w:hAnsi="Lato Black;sans-serif"/>
          <w:b/>
          <w:color w:val="000000"/>
          <w:sz w:val="20"/>
        </w:rPr>
      </w:pPr>
      <w:r>
        <w:rPr>
          <w:rFonts w:ascii="Lato Black;sans-serif" w:hAnsi="Lato Black;sans-serif"/>
          <w:b/>
          <w:color w:val="000000"/>
          <w:sz w:val="20"/>
        </w:rPr>
        <w:t>GUIDANCE</w: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 xml:space="preserve">Achievement of the anticipated results is subject to the risks disclosed in the Company’s filings with the U.S. Securities and Exchange Commission, which may cause actual results to differ materially from the anticipated results expressed or implied below. The outlook below does not assume any dispositions, acquisitions, or common share repurchases and is based on current operating trends and macroeconomic conditions.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450215"/>
                <wp:effectExtent l="0" t="0" r="0" b="0"/>
                <wp:wrapNone/>
                <wp:docPr id="7" name="Frame6"/>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3</w:t>
                      </w:r>
                    </w:p>
                  </w:txbxContent>
                </v:textbox>
                <w10:wrap type="none"/>
              </v:rect>
            </w:pict>
          </mc:Fallback>
        </mc:AlternateContent>
      </w:r>
    </w:p>
    <w:p>
      <w:pPr>
        <w:pStyle w:val="TextBody"/>
        <w:bidi w:val="0"/>
        <w:spacing w:lineRule="auto" w:line="288" w:before="0" w:after="0"/>
        <w:jc w:val="left"/>
        <w:rPr>
          <w:rFonts w:ascii="Lato;sans-serif" w:hAnsi="Lato;sans-serif"/>
          <w:b w:val="false"/>
          <w:color w:val="000000"/>
          <w:sz w:val="20"/>
        </w:rPr>
      </w:pPr>
      <w:r>
        <w:rPr>
          <w:rFonts w:ascii="Lato;sans-serif" w:hAnsi="Lato;sans-serif"/>
          <w:b w:val="false"/>
          <w:color w:val="000000"/>
          <w:sz w:val="20"/>
        </w:rPr>
        <w:t>The Company is raising its 2026 guidance to reflect the better than expected second quarter results, improved booking pace for the remainder of the year, and the full year benefit of the Chicago property tax appeal. The Company now anticipates full year 2026 results to be in the following ranges:</w:t>
      </w:r>
    </w:p>
    <w:p>
      <w:pPr>
        <w:pStyle w:val="TextBody"/>
        <w:bidi w:val="0"/>
        <w:spacing w:before="0" w:after="0"/>
        <w:ind w:left="0" w:right="0" w:hanging="720"/>
        <w:jc w:val="left"/>
        <w:rPr/>
      </w:pPr>
      <w:r>
        <w:rPr/>
      </w:r>
    </w:p>
    <w:tbl>
      <w:tblPr>
        <w:tblW w:w="9057" w:type="dxa"/>
        <w:jc w:val="left"/>
        <w:tblInd w:w="0" w:type="dxa"/>
        <w:tblLayout w:type="fixed"/>
        <w:tblCellMar>
          <w:top w:w="28" w:type="dxa"/>
          <w:left w:w="28" w:type="dxa"/>
          <w:bottom w:w="28" w:type="dxa"/>
          <w:right w:w="28" w:type="dxa"/>
        </w:tblCellMar>
      </w:tblPr>
      <w:tblGrid>
        <w:gridCol w:w="1138"/>
        <w:gridCol w:w="1002"/>
        <w:gridCol w:w="1010"/>
        <w:gridCol w:w="574"/>
        <w:gridCol w:w="574"/>
        <w:gridCol w:w="576"/>
        <w:gridCol w:w="669"/>
        <w:gridCol w:w="669"/>
        <w:gridCol w:w="671"/>
        <w:gridCol w:w="636"/>
        <w:gridCol w:w="636"/>
        <w:gridCol w:w="902"/>
      </w:tblGrid>
      <w:tr>
        <w:trPr/>
        <w:tc>
          <w:tcPr>
            <w:tcW w:w="1138"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1010"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4" w:type="dxa"/>
            <w:tcBorders/>
            <w:vAlign w:val="center"/>
          </w:tcPr>
          <w:p>
            <w:pPr>
              <w:pStyle w:val="TableContents"/>
              <w:bidi w:val="0"/>
              <w:spacing w:before="0" w:after="283"/>
              <w:jc w:val="left"/>
              <w:rPr>
                <w:sz w:val="4"/>
                <w:szCs w:val="4"/>
              </w:rPr>
            </w:pPr>
            <w:r>
              <w:rPr>
                <w:sz w:val="4"/>
                <w:szCs w:val="4"/>
              </w:rPr>
            </w:r>
          </w:p>
        </w:tc>
        <w:tc>
          <w:tcPr>
            <w:tcW w:w="576"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69"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902" w:type="dxa"/>
            <w:tcBorders/>
            <w:vAlign w:val="center"/>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Metric</w:t>
            </w:r>
          </w:p>
        </w:tc>
        <w:tc>
          <w:tcPr>
            <w:tcW w:w="17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Prior Guidance</w:t>
            </w:r>
          </w:p>
        </w:tc>
        <w:tc>
          <w:tcPr>
            <w:tcW w:w="200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Updated Guidance</w:t>
            </w:r>
          </w:p>
        </w:tc>
        <w:tc>
          <w:tcPr>
            <w:tcW w:w="217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Change at Midpoint</w:t>
            </w:r>
          </w:p>
        </w:tc>
      </w:tr>
      <w:tr>
        <w:trPr/>
        <w:tc>
          <w:tcPr>
            <w:tcW w:w="3150" w:type="dxa"/>
            <w:gridSpan w:val="3"/>
            <w:tcBorders/>
            <w:vAlign w:val="center"/>
          </w:tcPr>
          <w:p>
            <w:pPr>
              <w:pStyle w:val="TableContents"/>
              <w:bidi w:val="0"/>
              <w:spacing w:before="0" w:after="283"/>
              <w:jc w:val="left"/>
              <w:rPr>
                <w:sz w:val="4"/>
                <w:szCs w:val="4"/>
              </w:rPr>
            </w:pPr>
            <w:r>
              <w:rPr>
                <w:sz w:val="4"/>
                <w:szCs w:val="4"/>
              </w:rPr>
            </w:r>
          </w:p>
        </w:tc>
        <w:tc>
          <w:tcPr>
            <w:tcW w:w="5907" w:type="dxa"/>
            <w:gridSpan w:val="9"/>
            <w:tcBorders/>
          </w:tcPr>
          <w:p>
            <w:pPr>
              <w:pStyle w:val="TableContents"/>
              <w:bidi w:val="0"/>
              <w:spacing w:before="0" w:after="283"/>
              <w:jc w:val="left"/>
              <w:rPr>
                <w:sz w:val="4"/>
                <w:szCs w:val="4"/>
              </w:rPr>
            </w:pPr>
            <w:r>
              <w:rPr>
                <w:sz w:val="4"/>
                <w:szCs w:val="4"/>
              </w:rPr>
            </w:r>
          </w:p>
        </w:tc>
      </w:tr>
      <w:tr>
        <w:trPr/>
        <w:tc>
          <w:tcPr>
            <w:tcW w:w="3150" w:type="dxa"/>
            <w:gridSpan w:val="3"/>
            <w:tcBorders>
              <w:top w:val="single" w:sz="8" w:space="0" w:color="000000"/>
              <w:left w:val="single" w:sz="8" w:space="0" w:color="000000"/>
            </w:tcBorders>
            <w:shd w:fill="CCEEFF" w:val="clear"/>
            <w:tcMar>
              <w:top w:w="30" w:type="dxa"/>
              <w:left w:w="8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Comparable RevPAR Growth</w:t>
            </w:r>
          </w:p>
        </w:tc>
        <w:tc>
          <w:tcPr>
            <w:tcW w:w="1724"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1.5% to 3.5%</w:t>
            </w:r>
          </w:p>
        </w:tc>
        <w:tc>
          <w:tcPr>
            <w:tcW w:w="200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2.5% to 4.0%</w:t>
            </w:r>
          </w:p>
        </w:tc>
        <w:tc>
          <w:tcPr>
            <w:tcW w:w="2174" w:type="dxa"/>
            <w:gridSpan w:val="3"/>
            <w:tcBorders>
              <w:top w:val="single" w:sz="8" w:space="0" w:color="000000"/>
              <w:left w:val="single" w:sz="8" w:space="0" w:color="000000"/>
              <w:right w:val="single" w:sz="8" w:space="0" w:color="000000"/>
            </w:tcBorders>
            <w:shd w:fill="CCEEFF" w:val="clear"/>
            <w:tcMar>
              <w:top w:w="30" w:type="dxa"/>
              <w:bottom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75 bps</w:t>
            </w:r>
          </w:p>
        </w:tc>
      </w:tr>
      <w:tr>
        <w:trPr/>
        <w:tc>
          <w:tcPr>
            <w:tcW w:w="3150" w:type="dxa"/>
            <w:gridSpan w:val="3"/>
            <w:tcBorders>
              <w:left w:val="single" w:sz="8" w:space="0" w:color="000000"/>
            </w:tcBorders>
            <w:shd w:fill="FFFFFF" w:val="clear"/>
            <w:tcMar>
              <w:top w:w="0" w:type="dxa"/>
              <w:left w:w="8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Comparable Total RevPAR Growth</w:t>
            </w:r>
          </w:p>
        </w:tc>
        <w:tc>
          <w:tcPr>
            <w:tcW w:w="17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1.75% to 3.75%</w:t>
            </w:r>
          </w:p>
        </w:tc>
        <w:tc>
          <w:tcPr>
            <w:tcW w:w="20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2.75% to 4.25%</w:t>
            </w:r>
          </w:p>
        </w:tc>
        <w:tc>
          <w:tcPr>
            <w:tcW w:w="217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75 bps</w:t>
            </w:r>
          </w:p>
        </w:tc>
      </w:tr>
      <w:tr>
        <w:trPr/>
        <w:tc>
          <w:tcPr>
            <w:tcW w:w="3150" w:type="dxa"/>
            <w:gridSpan w:val="3"/>
            <w:tcBorders>
              <w:left w:val="single" w:sz="8" w:space="0" w:color="000000"/>
            </w:tcBorders>
            <w:shd w:fill="CCEEFF" w:val="clear"/>
            <w:tcMar>
              <w:top w:w="0" w:type="dxa"/>
              <w:left w:w="8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EBITDA (in millions)</w:t>
            </w:r>
          </w:p>
        </w:tc>
        <w:tc>
          <w:tcPr>
            <w:tcW w:w="1724"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$290.2 to $302.2</w:t>
            </w:r>
          </w:p>
        </w:tc>
        <w:tc>
          <w:tcPr>
            <w:tcW w:w="200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$310.0 to $320.0</w:t>
            </w:r>
          </w:p>
        </w:tc>
        <w:tc>
          <w:tcPr>
            <w:tcW w:w="2174" w:type="dxa"/>
            <w:gridSpan w:val="3"/>
            <w:tcBorders>
              <w:left w:val="single" w:sz="8" w:space="0" w:color="000000"/>
              <w:right w:val="single" w:sz="8" w:space="0" w:color="000000"/>
            </w:tcBorders>
            <w:shd w:fill="CCEEFF" w:val="clear"/>
            <w:tcMar>
              <w:top w:w="0" w:type="dxa"/>
              <w:bottom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$18.8</w:t>
            </w:r>
          </w:p>
        </w:tc>
      </w:tr>
      <w:tr>
        <w:trPr/>
        <w:tc>
          <w:tcPr>
            <w:tcW w:w="3150" w:type="dxa"/>
            <w:gridSpan w:val="3"/>
            <w:tcBorders>
              <w:left w:val="single" w:sz="8" w:space="0" w:color="000000"/>
            </w:tcBorders>
            <w:shd w:fill="FFFFFF" w:val="clear"/>
            <w:tcMar>
              <w:top w:w="0" w:type="dxa"/>
              <w:left w:w="8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FFO (in millions)</w:t>
            </w:r>
          </w:p>
        </w:tc>
        <w:tc>
          <w:tcPr>
            <w:tcW w:w="1724"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$228.4 to $240.4</w:t>
            </w:r>
          </w:p>
        </w:tc>
        <w:tc>
          <w:tcPr>
            <w:tcW w:w="200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$245.5 to $255.5</w:t>
            </w:r>
          </w:p>
        </w:tc>
        <w:tc>
          <w:tcPr>
            <w:tcW w:w="2174" w:type="dxa"/>
            <w:gridSpan w:val="3"/>
            <w:tcBorders>
              <w:left w:val="single" w:sz="8" w:space="0" w:color="000000"/>
              <w:right w:val="single" w:sz="8" w:space="0" w:color="000000"/>
            </w:tcBorders>
            <w:shd w:fill="FFFFFF" w:val="clear"/>
            <w:tcMar>
              <w:top w:w="0" w:type="dxa"/>
              <w:bottom w:w="0" w:type="dxa"/>
            </w:tcMar>
            <w:vAlign w:val="center"/>
          </w:tcPr>
          <w:p>
            <w:pPr>
              <w:pStyle w:val="TableContents"/>
              <w:bidi w:val="0"/>
              <w:spacing w:lineRule="auto" w:line="240" w:before="0" w:after="283"/>
              <w:jc w:val="center"/>
              <w:rPr>
                <w:rFonts w:ascii="Lato;sans-serif" w:hAnsi="Lato;sans-serif"/>
                <w:b w:val="false"/>
                <w:color w:val="000000"/>
                <w:sz w:val="18"/>
                <w:shd w:fill="FFFFFF" w:val="clear"/>
              </w:rPr>
            </w:pPr>
            <w:r>
              <w:rPr>
                <w:rFonts w:ascii="Lato;sans-serif" w:hAnsi="Lato;sans-serif"/>
                <w:b w:val="false"/>
                <w:color w:val="000000"/>
                <w:sz w:val="18"/>
                <w:shd w:fill="FFFFFF" w:val="clear"/>
              </w:rPr>
              <w:t>$16.1</w:t>
            </w:r>
          </w:p>
        </w:tc>
      </w:tr>
      <w:tr>
        <w:trPr/>
        <w:tc>
          <w:tcPr>
            <w:tcW w:w="3150" w:type="dxa"/>
            <w:gridSpan w:val="3"/>
            <w:tcBorders>
              <w:left w:val="single" w:sz="8" w:space="0" w:color="000000"/>
              <w:bottom w:val="single" w:sz="8" w:space="0" w:color="000000"/>
            </w:tcBorders>
            <w:shd w:fill="CCEEFF" w:val="clear"/>
            <w:tcMar>
              <w:top w:w="0" w:type="dxa"/>
              <w:left w:w="8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8"/>
              </w:rPr>
            </w:pPr>
            <w:r>
              <w:rPr>
                <w:rFonts w:ascii="Lato;sans-serif" w:hAnsi="Lato;sans-serif"/>
                <w:b w:val="false"/>
                <w:color w:val="000000"/>
                <w:sz w:val="18"/>
              </w:rPr>
              <w:t>Adjusted FFO per share</w:t>
            </w:r>
          </w:p>
        </w:tc>
        <w:tc>
          <w:tcPr>
            <w:tcW w:w="1724"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$1.10 to $1.16</w:t>
            </w:r>
          </w:p>
        </w:tc>
        <w:tc>
          <w:tcPr>
            <w:tcW w:w="2009" w:type="dxa"/>
            <w:gridSpan w:val="3"/>
            <w:tcBorders>
              <w:left w:val="single" w:sz="8" w:space="0" w:color="000000"/>
              <w:bottom w:val="single" w:sz="8" w:space="0" w:color="000000"/>
            </w:tcBorders>
            <w:shd w:fill="CCEEFF" w:val="clear"/>
            <w:tcMar>
              <w:top w:w="0" w:type="dxa"/>
              <w:bottom w:w="3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$1.18 to $1.23</w:t>
            </w:r>
          </w:p>
        </w:tc>
        <w:tc>
          <w:tcPr>
            <w:tcW w:w="2174" w:type="dxa"/>
            <w:gridSpan w:val="3"/>
            <w:tcBorders>
              <w:left w:val="single" w:sz="8" w:space="0" w:color="000000"/>
              <w:bottom w:val="single" w:sz="8" w:space="0" w:color="000000"/>
              <w:right w:val="single" w:sz="8" w:space="0" w:color="000000"/>
            </w:tcBorders>
            <w:shd w:fill="CCEEFF" w:val="clear"/>
            <w:tcMar>
              <w:top w:w="0" w:type="dxa"/>
              <w:bottom w:w="3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$0.075</w:t>
            </w:r>
          </w:p>
        </w:tc>
      </w:tr>
    </w:tbl>
    <w:p>
      <w:pPr>
        <w:pStyle w:val="TextBody"/>
        <w:bidi w:val="0"/>
        <w:spacing w:before="0" w:after="0"/>
        <w:ind w:left="0" w:right="0" w:hanging="1440"/>
        <w:jc w:val="left"/>
        <w:rPr/>
      </w:pPr>
      <w:r>
        <w:rPr/>
      </w:r>
    </w:p>
    <w:p>
      <w:pPr>
        <w:pStyle w:val="TextBody"/>
        <w:bidi w:val="0"/>
        <w:spacing w:lineRule="auto" w:line="288" w:before="0" w:after="120"/>
        <w:jc w:val="left"/>
        <w:rPr>
          <w:rFonts w:ascii="Lato;sans-serif" w:hAnsi="Lato;sans-serif"/>
          <w:b w:val="false"/>
          <w:color w:val="000000"/>
          <w:sz w:val="20"/>
        </w:rPr>
      </w:pPr>
      <w:r>
        <w:rPr>
          <w:rFonts w:ascii="Lato;sans-serif" w:hAnsi="Lato;sans-serif"/>
          <w:b w:val="false"/>
          <w:color w:val="000000"/>
          <w:sz w:val="20"/>
        </w:rPr>
        <w:t xml:space="preserve">Full year 2026 guidance is based in part on the following assumptions: </w:t>
      </w:r>
    </w:p>
    <w:p>
      <w:pPr>
        <w:pStyle w:val="TextBody"/>
        <w:bidi w:val="0"/>
        <w:spacing w:lineRule="auto" w:line="288" w:before="0" w:after="60"/>
        <w:ind w:left="0" w:right="0" w:hanging="360"/>
        <w:jc w:val="left"/>
        <w:rPr/>
      </w:pPr>
      <w:r>
        <w:rPr>
          <w:color w:val="000000"/>
        </w:rPr>
        <w:t>•</w:t>
      </w:r>
      <w:r>
        <w:rPr>
          <w:rFonts w:ascii="Lato;sans-serif" w:hAnsi="Lato;sans-serif"/>
          <w:b w:val="false"/>
          <w:color w:val="000000"/>
          <w:sz w:val="20"/>
        </w:rPr>
        <w:t>Full year cash corporate expenses of approximately $27.0 million, which excludes share-based compensation;</w:t>
      </w:r>
    </w:p>
    <w:p>
      <w:pPr>
        <w:pStyle w:val="TextBody"/>
        <w:bidi w:val="0"/>
        <w:spacing w:lineRule="auto" w:line="288" w:before="0" w:after="60"/>
        <w:ind w:left="0" w:right="0" w:hanging="360"/>
        <w:jc w:val="left"/>
        <w:rPr/>
      </w:pPr>
      <w:r>
        <w:rPr>
          <w:color w:val="000000"/>
        </w:rPr>
        <w:t>•</w:t>
      </w:r>
      <w:r>
        <w:rPr>
          <w:rFonts w:ascii="Lato;sans-serif" w:hAnsi="Lato;sans-serif"/>
          <w:b w:val="false"/>
          <w:color w:val="000000"/>
          <w:sz w:val="20"/>
        </w:rPr>
        <w:t>Full year cash interest expense of approximately $58.5 million to $59.5 million; and</w:t>
      </w:r>
    </w:p>
    <w:p>
      <w:pPr>
        <w:pStyle w:val="TextBody"/>
        <w:bidi w:val="0"/>
        <w:spacing w:lineRule="auto" w:line="288" w:before="0" w:after="60"/>
        <w:ind w:left="0" w:right="0" w:hanging="360"/>
        <w:jc w:val="left"/>
        <w:rPr/>
      </w:pPr>
      <w:r>
        <w:rPr>
          <w:color w:val="000000"/>
        </w:rPr>
        <w:t>•</w:t>
      </w:r>
      <w:r>
        <w:rPr>
          <w:rFonts w:ascii="Lato;sans-serif" w:hAnsi="Lato;sans-serif"/>
          <w:b w:val="false"/>
          <w:color w:val="000000"/>
          <w:sz w:val="20"/>
        </w:rPr>
        <w:t>Fully diluted weighted average common shares and units of 207.5 million.</w:t>
      </w:r>
    </w:p>
    <w:p>
      <w:pPr>
        <w:pStyle w:val="TextBody"/>
        <w:bidi w:val="0"/>
        <w:spacing w:before="0" w:after="60"/>
        <w:jc w:val="left"/>
        <w:rPr/>
      </w:pPr>
      <w:r>
        <w:rPr/>
      </w:r>
    </w:p>
    <w:p>
      <w:pPr>
        <w:pStyle w:val="TextBody"/>
        <w:bidi w:val="0"/>
        <w:spacing w:lineRule="auto" w:line="288" w:before="0" w:after="240"/>
        <w:jc w:val="left"/>
        <w:rPr>
          <w:rFonts w:ascii="Lato Black;sans-serif" w:hAnsi="Lato Black;sans-serif"/>
          <w:b/>
          <w:color w:val="000000"/>
          <w:sz w:val="20"/>
        </w:rPr>
      </w:pPr>
      <w:r>
        <w:rPr>
          <w:rFonts w:ascii="Lato Black;sans-serif" w:hAnsi="Lato Black;sans-serif"/>
          <w:b/>
          <w:color w:val="000000"/>
          <w:sz w:val="20"/>
        </w:rPr>
        <w:t>EARNINGS CALL</w:t>
      </w:r>
    </w:p>
    <w:p>
      <w:pPr>
        <w:pStyle w:val="TextBody"/>
        <w:bidi w:val="0"/>
        <w:spacing w:lineRule="auto" w:line="288" w:before="0" w:after="0"/>
        <w:jc w:val="left"/>
        <w:rPr/>
      </w:pPr>
      <w:r>
        <w:rPr>
          <w:rFonts w:ascii="Lato;sans-serif" w:hAnsi="Lato;sans-serif"/>
          <w:b w:val="false"/>
          <w:color w:val="000000"/>
          <w:sz w:val="20"/>
        </w:rPr>
        <w:t>The Company will host a conference call to discuss its second quarter results on Friday, July 31, 2026, at 10:00 a.m. Eastern Time. The conference call will be accessible by telephone and through the internet. Interested individuals are requested to register for the call using this</w:t>
      </w:r>
      <w:r>
        <w:rPr>
          <w:color w:val="3051F2"/>
          <w:u w:val="single"/>
        </w:rPr>
        <w:t xml:space="preserve"> </w:t>
      </w:r>
      <w:r>
        <w:rPr>
          <w:rFonts w:ascii="Lato;sans-serif" w:hAnsi="Lato;sans-serif"/>
          <w:b w:val="false"/>
          <w:color w:val="3051F2"/>
          <w:sz w:val="20"/>
          <w:u w:val="single"/>
        </w:rPr>
        <w:t xml:space="preserve">link </w:t>
      </w:r>
      <w:r>
        <w:rPr>
          <w:rFonts w:ascii="Lato;sans-serif" w:hAnsi="Lato;sans-serif"/>
          <w:b w:val="false"/>
          <w:color w:val="000000"/>
          <w:sz w:val="20"/>
        </w:rPr>
        <w:t xml:space="preserve">to obtain dial-in and webcast details. Registration details are also available by visiting </w:t>
      </w:r>
      <w:r>
        <w:rPr>
          <w:rFonts w:ascii="Lato;sans-serif" w:hAnsi="Lato;sans-serif"/>
          <w:b w:val="false"/>
          <w:color w:val="3051F2"/>
          <w:sz w:val="20"/>
          <w:u w:val="single"/>
        </w:rPr>
        <w:t>https://investor.drhc.com</w:t>
      </w:r>
      <w:r>
        <w:rPr>
          <w:rFonts w:ascii="Lato;sans-serif" w:hAnsi="Lato;sans-serif"/>
          <w:b w:val="false"/>
          <w:color w:val="000000"/>
          <w:sz w:val="20"/>
        </w:rPr>
        <w:t xml:space="preserve">. A replay of the conference call webcast will be archived and available online. </w:t>
      </w:r>
    </w:p>
    <w:p>
      <w:pPr>
        <w:pStyle w:val="TextBody"/>
        <w:bidi w:val="0"/>
        <w:spacing w:before="0" w:after="0"/>
        <w:jc w:val="left"/>
        <w:rPr/>
      </w:pPr>
      <w:r>
        <w:rPr/>
      </w:r>
    </w:p>
    <w:p>
      <w:pPr>
        <w:pStyle w:val="TextBody"/>
        <w:bidi w:val="0"/>
        <w:spacing w:lineRule="auto" w:line="288" w:before="0" w:after="240"/>
        <w:jc w:val="left"/>
        <w:rPr>
          <w:rFonts w:ascii="Lato Black;sans-serif" w:hAnsi="Lato Black;sans-serif"/>
          <w:b/>
          <w:color w:val="000000"/>
          <w:sz w:val="20"/>
        </w:rPr>
      </w:pPr>
      <w:r>
        <w:rPr>
          <w:rFonts w:ascii="Lato Black;sans-serif" w:hAnsi="Lato Black;sans-serif"/>
          <w:b/>
          <w:color w:val="000000"/>
          <w:sz w:val="20"/>
        </w:rPr>
        <w:t>ABOUT THE COMPANY</w:t>
      </w:r>
    </w:p>
    <w:p>
      <w:pPr>
        <w:pStyle w:val="TextBody"/>
        <w:bidi w:val="0"/>
        <w:spacing w:lineRule="auto" w:line="288" w:before="0" w:after="0"/>
        <w:jc w:val="left"/>
        <w:rPr/>
      </w:pPr>
      <w:r>
        <w:rPr>
          <w:rFonts w:ascii="Lato;sans-serif" w:hAnsi="Lato;sans-serif"/>
          <w:b w:val="false"/>
          <w:color w:val="000000"/>
          <w:sz w:val="20"/>
        </w:rPr>
        <w:t xml:space="preserve">DiamondRock Hospitality Company is a self-advised real estate investment trust (REIT) that is an owner of a leading portfolio of geographically diversified hotels concentrated in leisure destinations and top gateway markets. The Company currently owns 34 premium quality hotels with 9,400 rooms. The Company has strategically positioned its portfolio to be operated both under leading global brand families as well as independent boutique hotels in the lifestyle segment. For further information on the Company and its portfolio, please visit DiamondRock Hospitality Company’s website at </w:t>
      </w:r>
      <w:r>
        <w:rPr>
          <w:rFonts w:ascii="Lato;sans-serif" w:hAnsi="Lato;sans-serif"/>
          <w:b w:val="false"/>
          <w:color w:val="0000CC"/>
          <w:sz w:val="20"/>
          <w:u w:val="single"/>
        </w:rPr>
        <w:t>www.drhc.com</w:t>
      </w:r>
      <w:r>
        <w:rPr>
          <w:rFonts w:ascii="Lato;sans-serif" w:hAnsi="Lato;sans-serif"/>
          <w:b w:val="false"/>
          <w:color w:val="000000"/>
          <w:sz w:val="20"/>
        </w:rPr>
        <w:t>.</w:t>
      </w:r>
    </w:p>
    <w:p>
      <w:pPr>
        <w:pStyle w:val="TextBody"/>
        <w:bidi w:val="0"/>
        <w:spacing w:before="0" w:after="0"/>
        <w:jc w:val="left"/>
        <w:rPr/>
      </w:pPr>
      <w:r>
        <w:rPr/>
      </w:r>
    </w:p>
    <w:p>
      <w:pPr>
        <w:pStyle w:val="TextBody"/>
        <w:bidi w:val="0"/>
        <w:spacing w:lineRule="auto" w:line="288" w:before="0" w:after="0"/>
        <w:jc w:val="both"/>
        <w:rPr>
          <w:rFonts w:ascii="Lato;sans-serif" w:hAnsi="Lato;sans-serif"/>
          <w:b w:val="false"/>
          <w:i/>
          <w:color w:val="000000"/>
          <w:sz w:val="20"/>
        </w:rPr>
      </w:pPr>
      <w:r>
        <w:rPr>
          <w:rFonts w:ascii="Lato;sans-serif" w:hAnsi="Lato;sans-serif"/>
          <w:b w:val="false"/>
          <w:i/>
          <w:color w:val="000000"/>
          <w:sz w:val="20"/>
        </w:rPr>
        <w:t>This press release contains forward-looking statements within the meaning of federal securities laws and regulations. These forward-looking statements are identified by their use of terms and phrases such as "believe," "expect," "intend," "project," "forecast," "plan" and other similar terms and phrases, including references to assumptions and forecasts of future results. Forward-looking statements are not guarantees of future performance and involve known and unknown risks, uncertainties and other factors which may cause the actual results to differ materially from those anticipated at the time the forward-looking statements are made. These risks include, but are not limited to: the adverse impact of any future pandemic, epidemic or outbreak of any highly infectious disease on the U.S., regional and global economies, travel, the hospitality industry, and the financial condition and results of operations of the Company and its hotels; negative developments or volatility in the economy, including, but not limited to elevated inflation and interest rates, job loss or growth trends, the imposition of trade sanctions or tariffs and any potential retaliatory responses thereto, an increase in unemployment or a decrease in corporate earnings and investment; risks associated with the lodging industry overall, including, without limitation, decreases in the frequency of travel, decreases in the demand for, or frequency of, international travel as a result of evolving global trade dynamics or otherwise, and increases in operating costs; relationships with property managers; the ability to compete effectively in areas such as access, location, quality of accommodations and room rate structures; changes in taxes and government regulations which influence or determine wages, prices, construction procedures and costs; and other risk factors contained in the Company's filings with the Securities and Exchange Commission. Although the Company believes the expectations reflected in such forward-looking statements are based upon reasonable assumptions, it can give no assurance that the expectations will be attained or that any deviation will not be material. All information in this release is as of the date of this release, and the Company undertakes no obligation to update any forward-looking statement to conform the statement to actual results or changes in the Company's expectations.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450215"/>
                <wp:effectExtent l="0" t="0" r="0" b="0"/>
                <wp:wrapNone/>
                <wp:docPr id="8" name="Frame7"/>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4</w:t>
                      </w:r>
                    </w:p>
                  </w:txbxContent>
                </v:textbox>
                <w10:wrap type="none"/>
              </v:rect>
            </w:pict>
          </mc:Fallback>
        </mc:AlternateContent>
      </w:r>
    </w:p>
    <w:p>
      <w:pPr>
        <w:pStyle w:val="TextBody"/>
        <w:bidi w:val="0"/>
        <w:spacing w:lineRule="auto" w:line="288" w:before="0" w:after="0"/>
        <w:jc w:val="center"/>
        <w:rPr/>
      </w:pPr>
      <w:r>
        <w:rPr>
          <w:rFonts w:ascii="Lato Black;sans-serif" w:hAnsi="Lato Black;sans-serif"/>
          <w:b/>
          <w:color w:val="000000"/>
          <w:sz w:val="20"/>
        </w:rPr>
        <w:t>DIAMONDROCK HOSPITALITY COMPANY</w:t>
      </w:r>
      <w:r>
        <w:rPr>
          <w:color w:val="000000"/>
        </w:rPr>
        <w:t xml:space="preserve"> </w:t>
      </w:r>
    </w:p>
    <w:p>
      <w:pPr>
        <w:pStyle w:val="TextBody"/>
        <w:bidi w:val="0"/>
        <w:spacing w:lineRule="auto" w:line="288" w:before="0" w:after="0"/>
        <w:jc w:val="center"/>
        <w:rPr/>
      </w:pPr>
      <w:r>
        <w:rPr>
          <w:rFonts w:ascii="Lato Black;sans-serif" w:hAnsi="Lato Black;sans-serif"/>
          <w:b w:val="false"/>
          <w:color w:val="000000"/>
          <w:sz w:val="20"/>
        </w:rPr>
        <w:br/>
      </w:r>
      <w:r>
        <w:rPr>
          <w:rFonts w:ascii="Lato Black;sans-serif" w:hAnsi="Lato Black;sans-serif"/>
          <w:b/>
          <w:color w:val="000000"/>
          <w:sz w:val="20"/>
        </w:rPr>
        <w:t>CONSOLIDATED BALANCE SHEETS</w:t>
      </w:r>
    </w:p>
    <w:p>
      <w:pPr>
        <w:pStyle w:val="TextBody"/>
        <w:bidi w:val="0"/>
        <w:spacing w:lineRule="auto" w:line="288" w:before="0" w:after="0"/>
        <w:jc w:val="center"/>
        <w:rPr>
          <w:rFonts w:ascii="Lato Black;sans-serif" w:hAnsi="Lato Black;sans-serif"/>
          <w:b/>
          <w:color w:val="000000"/>
          <w:sz w:val="20"/>
        </w:rPr>
      </w:pPr>
      <w:r>
        <w:rPr>
          <w:rFonts w:ascii="Lato Black;sans-serif" w:hAnsi="Lato Black;sans-serif"/>
          <w:b/>
          <w:color w:val="000000"/>
          <w:sz w:val="20"/>
        </w:rPr>
        <w:t>(in thousands, except share and per share amounts)</w:t>
      </w:r>
    </w:p>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2548"/>
        <w:gridCol w:w="2052"/>
        <w:gridCol w:w="2063"/>
        <w:gridCol w:w="226"/>
        <w:gridCol w:w="1156"/>
        <w:gridCol w:w="109"/>
        <w:gridCol w:w="109"/>
        <w:gridCol w:w="109"/>
        <w:gridCol w:w="109"/>
        <w:gridCol w:w="253"/>
        <w:gridCol w:w="1296"/>
        <w:gridCol w:w="175"/>
      </w:tblGrid>
      <w:tr>
        <w:trPr/>
        <w:tc>
          <w:tcPr>
            <w:tcW w:w="2548" w:type="dxa"/>
            <w:tcBorders/>
            <w:vAlign w:val="center"/>
          </w:tcPr>
          <w:p>
            <w:pPr>
              <w:pStyle w:val="TableContents"/>
              <w:bidi w:val="0"/>
              <w:spacing w:before="0" w:after="283"/>
              <w:jc w:val="left"/>
              <w:rPr>
                <w:sz w:val="4"/>
                <w:szCs w:val="4"/>
              </w:rPr>
            </w:pPr>
            <w:r>
              <w:rPr>
                <w:sz w:val="4"/>
                <w:szCs w:val="4"/>
              </w:rPr>
            </w:r>
          </w:p>
        </w:tc>
        <w:tc>
          <w:tcPr>
            <w:tcW w:w="2052"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66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June 30,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December 31, 2025</w:t>
            </w:r>
          </w:p>
        </w:tc>
      </w:tr>
      <w:tr>
        <w:trPr/>
        <w:tc>
          <w:tcPr>
            <w:tcW w:w="66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ASSETS</w:t>
            </w:r>
          </w:p>
        </w:tc>
        <w:tc>
          <w:tcPr>
            <w:tcW w:w="14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(Audited)</w:t>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Property and equipment, net</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2,555,487 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2,596,458 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Right-of-use assets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95,106 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89,041 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Restricted cash</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39,884 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35,137 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Due from hotel managers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189,543 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137,787 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 xml:space="preserve">Prepaid and other assets </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80,291 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77,194 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Cash and cash equivalents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105,980 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68,084 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assets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w:t>
            </w:r>
          </w:p>
        </w:tc>
        <w:tc>
          <w:tcPr>
            <w:tcW w:w="11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8"/>
              </w:rPr>
              <w:t>3,066,291</w:t>
            </w: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w:t>
            </w:r>
          </w:p>
        </w:tc>
        <w:tc>
          <w:tcPr>
            <w:tcW w:w="12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8"/>
              </w:rPr>
              <w:t>3,003,701</w:t>
            </w:r>
            <w:r>
              <w:rPr>
                <w:color w:val="000000"/>
              </w:rPr>
              <w:t>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LIABILITIES AND EQUITY</w:t>
            </w:r>
          </w:p>
        </w:tc>
        <w:tc>
          <w:tcPr>
            <w:tcW w:w="14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Liabilities:</w:t>
            </w:r>
          </w:p>
        </w:tc>
        <w:tc>
          <w:tcPr>
            <w:tcW w:w="14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Debt, net of unamortized debt issuance costs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1,099,038 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2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1,098,850 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Lease liabilities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97,237 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87,053 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Due to hotel managers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138,906 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109,568 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vAlign w:val="center"/>
          </w:tcPr>
          <w:p>
            <w:pPr>
              <w:pStyle w:val="TableContents"/>
              <w:bidi w:val="0"/>
              <w:spacing w:before="0" w:after="283"/>
              <w:jc w:val="left"/>
              <w:rPr>
                <w:sz w:val="4"/>
                <w:szCs w:val="4"/>
              </w:rPr>
            </w:pPr>
            <w:r>
              <w:rPr>
                <w:sz w:val="4"/>
                <w:szCs w:val="4"/>
              </w:rPr>
            </w:r>
          </w:p>
        </w:tc>
        <w:tc>
          <w:tcPr>
            <w:tcW w:w="14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24" w:type="dxa"/>
            <w:gridSpan w:val="3"/>
            <w:tcBorders/>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Deferred rent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79,556 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77,405 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Unfavorable contract liabilities, net</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55,720 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56,549 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 xml:space="preserve">Accounts payable and accrued expenses </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40,344 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83,888 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Distributions declared and unpaid</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19,678 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25,903 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Deferred income related to key money, net</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6,917 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7,400 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liabilities</w:t>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1,537,396 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1,546,616 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Equity:</w:t>
            </w:r>
          </w:p>
        </w:tc>
        <w:tc>
          <w:tcPr>
            <w:tcW w:w="14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18"/>
              </w:rPr>
              <w:t>Common stock, $0.01 par value; 400,000,000 shares authorized; 204,505,826 and 203,703,182 shares issued and outstanding at June 30, 2026 and December 31, 2025, respectively</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2,037 </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Additional paid-in capital</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2,118,425 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2,114,438 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Accumulated other comprehensive loss</w:t>
            </w:r>
          </w:p>
        </w:tc>
        <w:tc>
          <w:tcPr>
            <w:tcW w:w="13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(2,475)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(6,381)</w:t>
            </w:r>
          </w:p>
        </w:tc>
        <w:tc>
          <w:tcPr>
            <w:tcW w:w="17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Distributions in excess of earnings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(594,640)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(662,209)</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stockholders’ equity</w:t>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1,523,355 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1,447,885 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Noncontrolling interests</w:t>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5,540 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9,200 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equity</w:t>
            </w:r>
          </w:p>
        </w:tc>
        <w:tc>
          <w:tcPr>
            <w:tcW w:w="13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1,528,895 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1,457,085 </w:t>
            </w:r>
          </w:p>
        </w:tc>
        <w:tc>
          <w:tcPr>
            <w:tcW w:w="17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66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liabilities and equity</w:t>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w:t>
            </w:r>
          </w:p>
        </w:tc>
        <w:tc>
          <w:tcPr>
            <w:tcW w:w="11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18"/>
              </w:rPr>
              <w:t>3,066,291</w:t>
            </w:r>
            <w:r>
              <w:rPr>
                <w:color w:val="000000"/>
              </w:rPr>
              <w:t>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w:t>
            </w:r>
          </w:p>
        </w:tc>
        <w:tc>
          <w:tcPr>
            <w:tcW w:w="12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Lato;sans-serif" w:hAnsi="Lato;sans-serif"/>
                <w:b/>
                <w:color w:val="000000"/>
                <w:sz w:val="18"/>
              </w:rPr>
              <w:t>3,003,701</w:t>
            </w:r>
            <w:r>
              <w:rPr>
                <w:color w:val="000000"/>
              </w:rPr>
              <w:t> </w:t>
            </w:r>
          </w:p>
        </w:tc>
        <w:tc>
          <w:tcPr>
            <w:tcW w:w="1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ind w:left="0" w:right="0" w:hanging="18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450215"/>
                <wp:effectExtent l="0" t="0" r="0" b="0"/>
                <wp:wrapNone/>
                <wp:docPr id="9" name="Frame8"/>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5</w:t>
                      </w:r>
                    </w:p>
                  </w:txbxContent>
                </v:textbox>
                <w10:wrap type="none"/>
              </v:rect>
            </w:pict>
          </mc:Fallback>
        </mc:AlternateContent>
      </w:r>
    </w:p>
    <w:p>
      <w:pPr>
        <w:pStyle w:val="TextBody"/>
        <w:bidi w:val="0"/>
        <w:spacing w:lineRule="auto" w:line="288" w:before="0" w:after="0"/>
        <w:jc w:val="center"/>
        <w:rPr>
          <w:rFonts w:ascii="Lato Black;sans-serif" w:hAnsi="Lato Black;sans-serif"/>
          <w:b/>
          <w:color w:val="000000"/>
          <w:sz w:val="20"/>
        </w:rPr>
      </w:pPr>
      <w:r>
        <w:rPr>
          <w:rFonts w:ascii="Lato Black;sans-serif" w:hAnsi="Lato Black;sans-serif"/>
          <w:b/>
          <w:color w:val="000000"/>
          <w:sz w:val="20"/>
        </w:rPr>
        <w:t>DIAMONDROCK HOSPITALITY COMPANY</w:t>
      </w:r>
    </w:p>
    <w:p>
      <w:pPr>
        <w:pStyle w:val="TextBody"/>
        <w:bidi w:val="0"/>
        <w:spacing w:before="0" w:after="0"/>
        <w:jc w:val="center"/>
        <w:rPr/>
      </w:pPr>
      <w:r>
        <w:rPr/>
      </w:r>
    </w:p>
    <w:p>
      <w:pPr>
        <w:pStyle w:val="TextBody"/>
        <w:bidi w:val="0"/>
        <w:spacing w:lineRule="auto" w:line="288" w:before="0" w:after="0"/>
        <w:jc w:val="center"/>
        <w:rPr>
          <w:rFonts w:ascii="Lato Black;sans-serif" w:hAnsi="Lato Black;sans-serif"/>
          <w:b/>
          <w:color w:val="000000"/>
          <w:sz w:val="20"/>
        </w:rPr>
      </w:pPr>
      <w:r>
        <w:rPr>
          <w:rFonts w:ascii="Lato Black;sans-serif" w:hAnsi="Lato Black;sans-serif"/>
          <w:b/>
          <w:color w:val="000000"/>
          <w:sz w:val="20"/>
        </w:rPr>
        <w:t>CONSOLIDATED STATEMENTS OF OPERATIONS</w:t>
      </w:r>
    </w:p>
    <w:p>
      <w:pPr>
        <w:pStyle w:val="TextBody"/>
        <w:bidi w:val="0"/>
        <w:spacing w:lineRule="auto" w:line="288" w:before="0" w:after="0"/>
        <w:jc w:val="center"/>
        <w:rPr>
          <w:rFonts w:ascii="Lato Black;sans-serif" w:hAnsi="Lato Black;sans-serif"/>
          <w:b/>
          <w:color w:val="000000"/>
          <w:sz w:val="20"/>
        </w:rPr>
      </w:pPr>
      <w:r>
        <w:rPr>
          <w:rFonts w:ascii="Lato Black;sans-serif" w:hAnsi="Lato Black;sans-serif"/>
          <w:b/>
          <w:color w:val="000000"/>
          <w:sz w:val="20"/>
        </w:rPr>
        <w:t xml:space="preserve">(in thousands, except share and per share amounts) </w:t>
      </w:r>
    </w:p>
    <w:p>
      <w:pPr>
        <w:pStyle w:val="TextBody"/>
        <w:bidi w:val="0"/>
        <w:spacing w:lineRule="auto" w:line="288" w:before="0" w:after="0"/>
        <w:jc w:val="center"/>
        <w:rPr/>
      </w:pPr>
      <w:r>
        <w:rPr>
          <w:rFonts w:ascii="Lato Black;sans-serif" w:hAnsi="Lato Black;sans-serif"/>
          <w:b/>
          <w:color w:val="000000"/>
          <w:sz w:val="20"/>
        </w:rPr>
        <w:t>(unaudited)</w:t>
      </w:r>
      <w:r>
        <w:rPr>
          <w:color w:val="000000"/>
        </w:rPr>
        <w:t xml:space="preserve"> </w:t>
      </w:r>
    </w:p>
    <w:tbl>
      <w:tblPr>
        <w:tblW w:w="10205" w:type="dxa"/>
        <w:jc w:val="center"/>
        <w:tblInd w:w="0" w:type="dxa"/>
        <w:tblLayout w:type="fixed"/>
        <w:tblCellMar>
          <w:top w:w="28" w:type="dxa"/>
          <w:left w:w="28" w:type="dxa"/>
          <w:bottom w:w="28" w:type="dxa"/>
          <w:right w:w="28" w:type="dxa"/>
        </w:tblCellMar>
      </w:tblPr>
      <w:tblGrid>
        <w:gridCol w:w="1622"/>
        <w:gridCol w:w="903"/>
        <w:gridCol w:w="905"/>
        <w:gridCol w:w="263"/>
        <w:gridCol w:w="1103"/>
        <w:gridCol w:w="112"/>
        <w:gridCol w:w="112"/>
        <w:gridCol w:w="112"/>
        <w:gridCol w:w="112"/>
        <w:gridCol w:w="263"/>
        <w:gridCol w:w="1103"/>
        <w:gridCol w:w="112"/>
        <w:gridCol w:w="109"/>
        <w:gridCol w:w="109"/>
        <w:gridCol w:w="109"/>
        <w:gridCol w:w="263"/>
        <w:gridCol w:w="1103"/>
        <w:gridCol w:w="109"/>
        <w:gridCol w:w="109"/>
        <w:gridCol w:w="109"/>
        <w:gridCol w:w="109"/>
        <w:gridCol w:w="230"/>
        <w:gridCol w:w="963"/>
        <w:gridCol w:w="161"/>
      </w:tblGrid>
      <w:tr>
        <w:trPr/>
        <w:tc>
          <w:tcPr>
            <w:tcW w:w="1622"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1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11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963"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 xml:space="preserve">Three Months Ended June 30,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Six Months Ended June 30,</w:t>
            </w:r>
          </w:p>
        </w:tc>
      </w:tr>
      <w:tr>
        <w:trPr/>
        <w:tc>
          <w:tcPr>
            <w:tcW w:w="34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3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r>
      <w:tr>
        <w:trPr/>
        <w:tc>
          <w:tcPr>
            <w:tcW w:w="3430"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color w:val="000000"/>
                <w:sz w:val="18"/>
              </w:rPr>
            </w:pPr>
            <w:r>
              <w:rPr>
                <w:rFonts w:ascii="Lato;sans-serif" w:hAnsi="Lato;sans-serif"/>
                <w:b/>
                <w:color w:val="000000"/>
                <w:sz w:val="18"/>
              </w:rPr>
              <w:t>Revenues:</w:t>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Rooms</w:t>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207,669 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198,237 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371,754 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6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361,355 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Food and beverage</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80,780 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78,828 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147,946 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145,669 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Other</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29,837 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28,655 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56,748 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53,549 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Total revenues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318,286 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305,720 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576,448 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560,573 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color w:val="000000"/>
                <w:sz w:val="18"/>
              </w:rPr>
            </w:pPr>
            <w:r>
              <w:rPr>
                <w:rFonts w:ascii="Lato;sans-serif" w:hAnsi="Lato;sans-serif"/>
                <w:b/>
                <w:color w:val="000000"/>
                <w:sz w:val="18"/>
              </w:rPr>
              <w:t>Operating Expenses:</w:t>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Rooms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46,982 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47,272 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89,305 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91,115 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Food and beverage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50,826 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50,548 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96,726 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96,965 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Other departmental and support expenses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70,594 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68,719 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136,782 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134,005 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Management fees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8,866 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7,406 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12,424 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Franchise fees</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10,549 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10,003 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19,804 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19,051 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Other property-level expenses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17,866 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28,017 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52,916 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Depreciation and amortization</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28,841 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28,156 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56,048 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Corporate expenses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10,419 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9,465 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18,262 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17,148 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ind w:left="0" w:right="0" w:hanging="90"/>
              <w:jc w:val="left"/>
              <w:rPr>
                <w:color w:val="000000"/>
              </w:rPr>
            </w:pPr>
            <w:r>
              <w:rPr>
                <w:color w:val="000000"/>
              </w:rPr>
              <w:t>  </w:t>
            </w:r>
            <w:r>
              <w:rPr>
                <w:rFonts w:ascii="Lato;sans-serif" w:hAnsi="Lato;sans-serif"/>
                <w:b w:val="false"/>
                <w:color w:val="000000"/>
                <w:sz w:val="18"/>
              </w:rPr>
              <w:t>Total operating expenses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244,943 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249,586 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474,484 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479,672 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Interest expense</w:t>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14,442 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14,868 </w:t>
            </w:r>
          </w:p>
        </w:tc>
        <w:tc>
          <w:tcPr>
            <w:tcW w:w="1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29,132 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30,026 </w:t>
            </w:r>
          </w:p>
        </w:tc>
        <w:tc>
          <w:tcPr>
            <w:tcW w:w="16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Interest (income) and other (income) expense, net</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(1,946)</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(764)</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(2,594)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(2,228)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Gain on sale of hotel property, net</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36" w:type="dxa"/>
            <w:gridSpan w:val="3"/>
            <w:tcBorders/>
            <w:vAlign w:val="center"/>
          </w:tcPr>
          <w:p>
            <w:pPr>
              <w:pStyle w:val="TableContents"/>
              <w:bidi w:val="0"/>
              <w:spacing w:before="0" w:after="283"/>
              <w:jc w:val="left"/>
              <w:rPr>
                <w:sz w:val="4"/>
                <w:szCs w:val="4"/>
              </w:rPr>
            </w:pPr>
            <w:r>
              <w:rPr>
                <w:sz w:val="4"/>
                <w:szCs w:val="4"/>
              </w:rPr>
            </w:r>
          </w:p>
        </w:tc>
        <w:tc>
          <w:tcPr>
            <w:tcW w:w="147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7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54" w:type="dxa"/>
            <w:gridSpan w:val="3"/>
            <w:tcBorders/>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color w:val="000000"/>
                <w:sz w:val="18"/>
              </w:rPr>
            </w:pPr>
            <w:r>
              <w:rPr>
                <w:rFonts w:ascii="Lato;sans-serif" w:hAnsi="Lato;sans-serif"/>
                <w:b/>
                <w:color w:val="000000"/>
                <w:sz w:val="18"/>
              </w:rPr>
              <w:t>Income before income taxes</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92,438 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42,030 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107,017 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53,103 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Income tax expense</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(1,680)</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(991)</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(1,726)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(149)</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color w:val="000000"/>
                <w:sz w:val="18"/>
              </w:rPr>
            </w:pPr>
            <w:r>
              <w:rPr>
                <w:rFonts w:ascii="Lato;sans-serif" w:hAnsi="Lato;sans-serif"/>
                <w:b/>
                <w:color w:val="000000"/>
                <w:sz w:val="18"/>
              </w:rPr>
              <w:t>Net income</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90,758 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41,039 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105,291 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52,954 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Less: Net income attributable to noncontrolling interests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(278)</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(347)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(262)</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color w:val="000000"/>
                <w:sz w:val="18"/>
              </w:rPr>
            </w:pPr>
            <w:r>
              <w:rPr>
                <w:rFonts w:ascii="Lato;sans-serif" w:hAnsi="Lato;sans-serif"/>
                <w:b/>
                <w:color w:val="000000"/>
                <w:sz w:val="18"/>
              </w:rPr>
              <w:t>Net income attributable to the Company</w:t>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90,480 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40,835 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104,944 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52,692 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Distributions to preferred stockholders</w:t>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(2,454)</w:t>
            </w:r>
          </w:p>
        </w:tc>
        <w:tc>
          <w:tcPr>
            <w:tcW w:w="1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(4,908)</w:t>
            </w:r>
          </w:p>
        </w:tc>
        <w:tc>
          <w:tcPr>
            <w:tcW w:w="16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Net income attributable to common stockholders</w:t>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90,480 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38,381 </w:t>
            </w:r>
          </w:p>
        </w:tc>
        <w:tc>
          <w:tcPr>
            <w:tcW w:w="1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104,944 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47,784 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color w:val="000000"/>
                <w:sz w:val="18"/>
              </w:rPr>
            </w:pPr>
            <w:r>
              <w:rPr>
                <w:rFonts w:ascii="Lato;sans-serif" w:hAnsi="Lato;sans-serif"/>
                <w:b/>
                <w:color w:val="000000"/>
                <w:sz w:val="18"/>
              </w:rPr>
              <w:t>Earnings per share:</w:t>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Earnings per share available to common stockholders - basic</w:t>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0.44 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0.19 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0.23 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Earnings per share available to common stockholders - diluted</w:t>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0.44 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0.18 </w:t>
            </w:r>
          </w:p>
        </w:tc>
        <w:tc>
          <w:tcPr>
            <w:tcW w:w="112"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0.51 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63"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0.23 </w:t>
            </w:r>
          </w:p>
        </w:tc>
        <w:tc>
          <w:tcPr>
            <w:tcW w:w="161"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color w:val="000000"/>
                <w:sz w:val="18"/>
              </w:rPr>
            </w:pPr>
            <w:r>
              <w:rPr>
                <w:rFonts w:ascii="Lato;sans-serif" w:hAnsi="Lato;sans-serif"/>
                <w:b/>
                <w:color w:val="000000"/>
                <w:sz w:val="18"/>
              </w:rPr>
              <w:t>Weighted-average number of common shares outstanding:</w:t>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30" w:type="dxa"/>
            <w:gridSpan w:val="3"/>
            <w:tcBorders/>
            <w:shd w:fill="FFFF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Basic</w:t>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205,081,651 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206,804,961 </w:t>
            </w:r>
          </w:p>
        </w:tc>
        <w:tc>
          <w:tcPr>
            <w:tcW w:w="1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204,772,118 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207,652,548</w:t>
            </w:r>
          </w:p>
        </w:tc>
      </w:tr>
      <w:tr>
        <w:trPr/>
        <w:tc>
          <w:tcPr>
            <w:tcW w:w="3430" w:type="dxa"/>
            <w:gridSpan w:val="3"/>
            <w:tcBorders/>
            <w:shd w:fill="CCEEFF" w:val="clear"/>
            <w:tcMar>
              <w:top w:w="0" w:type="dxa"/>
              <w:left w:w="0" w:type="dxa"/>
              <w:bottom w:w="0" w:type="dxa"/>
              <w:right w:w="0" w:type="dxa"/>
            </w:tcMar>
            <w:vAlign w:val="center"/>
          </w:tcPr>
          <w:p>
            <w:pPr>
              <w:pStyle w:val="TableContents"/>
              <w:bidi w:val="0"/>
              <w:spacing w:lineRule="auto" w:line="240" w:before="0" w:after="20"/>
              <w:jc w:val="left"/>
              <w:rPr>
                <w:rFonts w:ascii="Lato;sans-serif" w:hAnsi="Lato;sans-serif"/>
                <w:b w:val="false"/>
                <w:color w:val="000000"/>
                <w:sz w:val="18"/>
              </w:rPr>
            </w:pPr>
            <w:r>
              <w:rPr>
                <w:rFonts w:ascii="Lato;sans-serif" w:hAnsi="Lato;sans-serif"/>
                <w:b w:val="false"/>
                <w:color w:val="000000"/>
                <w:sz w:val="18"/>
              </w:rPr>
              <w:t>Diluted</w:t>
            </w:r>
          </w:p>
        </w:tc>
        <w:tc>
          <w:tcPr>
            <w:tcW w:w="13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206,096,952 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207,916,308 </w:t>
            </w:r>
          </w:p>
        </w:tc>
        <w:tc>
          <w:tcPr>
            <w:tcW w:w="112"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205,897,593 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209,161,359</w:t>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450215"/>
                <wp:effectExtent l="0" t="0" r="0" b="0"/>
                <wp:wrapNone/>
                <wp:docPr id="10" name="Frame9"/>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6</w:t>
                      </w:r>
                    </w:p>
                  </w:txbxContent>
                </v:textbox>
                <w10:wrap type="none"/>
              </v:rect>
            </w:pict>
          </mc:Fallback>
        </mc:AlternateContent>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Non-GAAP Financial Measures</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pPr>
      <w:r>
        <w:rPr>
          <w:rFonts w:ascii="Lato;sans-serif" w:hAnsi="Lato;sans-serif"/>
          <w:b w:val="false"/>
          <w:color w:val="000000"/>
          <w:sz w:val="20"/>
        </w:rPr>
        <w:t>We use the following non-GAAP financial measures that we believe are useful to investors as key measures of our operating performance: EBITDA, EBITDA</w:t>
      </w:r>
      <w:r>
        <w:rPr>
          <w:rFonts w:ascii="Lato;sans-serif" w:hAnsi="Lato;sans-serif"/>
          <w:b w:val="false"/>
          <w:i/>
          <w:color w:val="000000"/>
          <w:sz w:val="20"/>
        </w:rPr>
        <w:t>re</w:t>
      </w:r>
      <w:r>
        <w:rPr>
          <w:rFonts w:ascii="Lato;sans-serif" w:hAnsi="Lato;sans-serif"/>
          <w:b w:val="false"/>
          <w:color w:val="000000"/>
          <w:sz w:val="20"/>
        </w:rPr>
        <w:t>, Adjusted EBITDA, Hotel Adjusted EBITDA, Hotel Adjusted EBITDA Margin, FFO and Adjusted FFO. We also present Comparable Total Revenue, Comparable Room Revenues, Comparable Hotel Adjusted EBITDA and Comparable Hotel Adjusted EBITDA Margin. These measures should not be considered in isolation or as a substitute for measures of performance in accordance with U.S. GAAP. EBITDA, EBITDA</w:t>
      </w:r>
      <w:r>
        <w:rPr>
          <w:rFonts w:ascii="Lato;sans-serif" w:hAnsi="Lato;sans-serif"/>
          <w:b w:val="false"/>
          <w:i/>
          <w:color w:val="000000"/>
          <w:sz w:val="20"/>
        </w:rPr>
        <w:t>re</w:t>
      </w:r>
      <w:r>
        <w:rPr>
          <w:rFonts w:ascii="Lato;sans-serif" w:hAnsi="Lato;sans-serif"/>
          <w:b w:val="false"/>
          <w:color w:val="000000"/>
          <w:sz w:val="20"/>
        </w:rPr>
        <w:t>, Adjusted EBITDA, Hotel Adjusted EBITDA, Hotel Adjusted EBITDA Margin, FFO, Adjusted FFO, Comparable Total Revenue, Comparable Room Revenues, Comparable Hotel Adjusted EBITDA and Comparable Hotel Adjusted EBITDA Margin, as calculated by us, may not be comparable to other companies that do not define such terms exactly as the Company.</w:t>
      </w:r>
    </w:p>
    <w:p>
      <w:pPr>
        <w:pStyle w:val="TextBody"/>
        <w:bidi w:val="0"/>
        <w:spacing w:before="0" w:after="0"/>
        <w:ind w:left="0" w:right="0" w:firstLine="495"/>
        <w:jc w:val="left"/>
        <w:rPr/>
      </w:pPr>
      <w:r>
        <w:rPr/>
      </w:r>
    </w:p>
    <w:p>
      <w:pPr>
        <w:pStyle w:val="TextBody"/>
        <w:bidi w:val="0"/>
        <w:spacing w:lineRule="auto" w:line="288" w:before="0" w:after="0"/>
        <w:ind w:left="0" w:right="0" w:firstLine="135"/>
        <w:jc w:val="left"/>
        <w:rPr>
          <w:rFonts w:ascii="Lato Black;sans-serif" w:hAnsi="Lato Black;sans-serif"/>
          <w:b/>
          <w:i/>
          <w:color w:val="000000"/>
          <w:sz w:val="20"/>
        </w:rPr>
      </w:pPr>
      <w:r>
        <w:rPr>
          <w:rFonts w:ascii="Lato Black;sans-serif" w:hAnsi="Lato Black;sans-serif"/>
          <w:b/>
          <w:i/>
          <w:color w:val="000000"/>
          <w:sz w:val="20"/>
        </w:rPr>
        <w:t>Use and Limitations of Non-GAAP Financial Measures</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Our management and Board of Directors use EBITDA, EBITDAre, Adjusted EBITDA, Hotel Adjusted EBITDA, FFO, Adjusted FFO, Comparable Total Revenue, Comparable Room Revenues, Comparable Hotel Adjusted EBITDA and Comparable Hotel Adjusted EBITDA Margin, to evaluate the performance of our hotels and to facilitate comparisons between us and other lodging REITs, hotel owners who are not REITs and other capital intensive companies. The use of these non-GAAP financial measures has certain limitations. These non-GAAP financial measures as presented by us, may not be comparable to non-GAAP financial measures as calculated by other real estate companies. These measures do not reflect certain expenses or expenditures that we incurred and will incur, such as depreciation, interest and capital expenditures. We compensate for these limitations by separately considering the impact of these excluded items to the extent they are material to operating decisions or assessments of our operating performance. Our reconciliations to the most comparable U.S. GAAP financial measures, and our consolidated statements of operations and comprehensive income and consolidated statements of cash flows, include interest expense, capital expenditures, and other excluded items, all of which should be considered when evaluating our performance, as well as the usefulness of our non-GAAP financial measures.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These non-GAAP financial measures are used in addition to and in conjunction with results presented in accordance with U.S. GAAP. They should not be considered as alternatives to operating profit, cash flow from operations, or any other operating performance measure prescribed by U.S. GAAP. These non-GAAP financial measures reflect additional ways of viewing our operations that we believe, when viewed with our U.S. GAAP results and the reconciliations to the corresponding U.S. GAAP financial measures, provide a more complete understanding of factors and trends affecting our business than could be obtained absent this disclosure. We strongly encourage investors to review our financial information in its entirety and not to rely on a single financial measure.</w:t>
      </w:r>
    </w:p>
    <w:p>
      <w:pPr>
        <w:pStyle w:val="TextBody"/>
        <w:bidi w:val="0"/>
        <w:spacing w:before="0" w:after="0"/>
        <w:ind w:left="0" w:right="0" w:firstLine="720"/>
        <w:jc w:val="left"/>
        <w:rPr/>
      </w:pPr>
      <w:r>
        <w:rPr/>
      </w:r>
    </w:p>
    <w:p>
      <w:pPr>
        <w:pStyle w:val="TextBody"/>
        <w:bidi w:val="0"/>
        <w:spacing w:lineRule="auto" w:line="288" w:before="0" w:after="0"/>
        <w:ind w:left="0" w:right="0" w:firstLine="135"/>
        <w:jc w:val="left"/>
        <w:rPr/>
      </w:pPr>
      <w:r>
        <w:rPr>
          <w:rFonts w:ascii="Lato Black;sans-serif" w:hAnsi="Lato Black;sans-serif"/>
          <w:b/>
          <w:i/>
          <w:color w:val="000000"/>
          <w:sz w:val="20"/>
        </w:rPr>
        <w:t>EBITDA and EBITDA</w:t>
      </w:r>
      <w:r>
        <w:rPr>
          <w:rFonts w:ascii="Lato Black;sans-serif" w:hAnsi="Lato Black;sans-serif"/>
          <w:b/>
          <w:color w:val="000000"/>
          <w:sz w:val="20"/>
        </w:rPr>
        <w:t>re</w:t>
      </w:r>
    </w:p>
    <w:p>
      <w:pPr>
        <w:pStyle w:val="TextBody"/>
        <w:bidi w:val="0"/>
        <w:spacing w:before="0" w:after="0"/>
        <w:ind w:left="0" w:right="0" w:firstLine="135"/>
        <w:jc w:val="left"/>
        <w:rPr/>
      </w:pPr>
      <w:r>
        <w:rPr/>
      </w:r>
    </w:p>
    <w:p>
      <w:pPr>
        <w:pStyle w:val="TextBody"/>
        <w:bidi w:val="0"/>
        <w:spacing w:lineRule="auto" w:line="288" w:before="0" w:after="0"/>
        <w:ind w:left="0" w:right="0" w:firstLine="360"/>
        <w:jc w:val="left"/>
        <w:rPr/>
      </w:pPr>
      <w:r>
        <w:rPr>
          <w:rFonts w:ascii="Lato;sans-serif" w:hAnsi="Lato;sans-serif"/>
          <w:b w:val="false"/>
          <w:color w:val="000000"/>
          <w:sz w:val="20"/>
        </w:rPr>
        <w:t>EBITDA represents net income (calculated in accordance with U.S. GAAP) excluding: (1) interest expense; (2) provision for income taxes, including income taxes applicable to sale of assets; and (3) depreciation and amortization. The Company computes EBITDA</w:t>
      </w:r>
      <w:r>
        <w:rPr>
          <w:rFonts w:ascii="Lato;sans-serif" w:hAnsi="Lato;sans-serif"/>
          <w:b w:val="false"/>
          <w:i/>
          <w:color w:val="000000"/>
          <w:sz w:val="20"/>
        </w:rPr>
        <w:t>re</w:t>
      </w:r>
      <w:r>
        <w:rPr>
          <w:color w:val="000000"/>
        </w:rPr>
        <w:t xml:space="preserve"> </w:t>
      </w:r>
      <w:r>
        <w:rPr>
          <w:rFonts w:ascii="Lato;sans-serif" w:hAnsi="Lato;sans-serif"/>
          <w:b w:val="false"/>
          <w:color w:val="000000"/>
          <w:sz w:val="20"/>
        </w:rPr>
        <w:t>in accordance with the National Association of Real Estate Investment Trusts ("Nareit") guidelines, as defined in its September 2017 white paper "Earnings Before Interest, Taxes, Depreciation and Amortization for Real Estate." EBITDA</w:t>
      </w:r>
      <w:r>
        <w:rPr>
          <w:rFonts w:ascii="Lato;sans-serif" w:hAnsi="Lato;sans-serif"/>
          <w:b w:val="false"/>
          <w:i/>
          <w:color w:val="000000"/>
          <w:sz w:val="20"/>
        </w:rPr>
        <w:t>re</w:t>
      </w:r>
      <w:r>
        <w:rPr>
          <w:color w:val="000000"/>
        </w:rPr>
        <w:t xml:space="preserve"> </w:t>
      </w:r>
      <w:r>
        <w:rPr>
          <w:rFonts w:ascii="Lato;sans-serif" w:hAnsi="Lato;sans-serif"/>
          <w:b w:val="false"/>
          <w:color w:val="000000"/>
          <w:sz w:val="20"/>
        </w:rPr>
        <w:t>represents net income (calculated in accordance with U.S. GAAP) adjusted for: (1) interest expense; (2) provision for income taxes, including income taxes applicable to sale of assets; (3) depreciation and amortization; (4) gains or losses on the disposition of depreciated property including gains or losses on change of control; (5) impairment write-downs of depreciated property and of investments in unconsolidated affiliates caused by a decrease in value of depreciated property in the affiliate; and (6) adjustments to reflect the entity's share of EBITDA</w:t>
      </w:r>
      <w:r>
        <w:rPr>
          <w:rFonts w:ascii="Lato;sans-serif" w:hAnsi="Lato;sans-serif"/>
          <w:b w:val="false"/>
          <w:i/>
          <w:color w:val="000000"/>
          <w:sz w:val="20"/>
        </w:rPr>
        <w:t>re</w:t>
      </w:r>
      <w:r>
        <w:rPr>
          <w:color w:val="000000"/>
        </w:rPr>
        <w:t xml:space="preserve"> </w:t>
      </w:r>
      <w:r>
        <w:rPr>
          <w:rFonts w:ascii="Lato;sans-serif" w:hAnsi="Lato;sans-serif"/>
          <w:b w:val="false"/>
          <w:color w:val="000000"/>
          <w:sz w:val="20"/>
        </w:rPr>
        <w:t xml:space="preserve">of unconsolidated affiliates. </w:t>
      </w:r>
    </w:p>
    <w:p>
      <w:pPr>
        <w:pStyle w:val="TextBody"/>
        <w:bidi w:val="0"/>
        <w:spacing w:before="0" w:after="0"/>
        <w:ind w:left="0" w:right="0" w:firstLine="495"/>
        <w:jc w:val="left"/>
        <w:rPr/>
      </w:pPr>
      <w:r>
        <w:rPr/>
      </w:r>
    </w:p>
    <w:p>
      <w:pPr>
        <w:pStyle w:val="TextBody"/>
        <w:bidi w:val="0"/>
        <w:spacing w:lineRule="auto" w:line="288" w:before="0" w:after="0"/>
        <w:ind w:left="0" w:right="0" w:firstLine="360"/>
        <w:jc w:val="left"/>
        <w:rPr/>
      </w:pPr>
      <w:r>
        <w:rPr>
          <w:rFonts w:ascii="Lato;sans-serif" w:hAnsi="Lato;sans-serif"/>
          <w:b w:val="false"/>
          <w:color w:val="000000"/>
          <w:sz w:val="20"/>
        </w:rPr>
        <w:t>We believe EBITDA and EBITDA</w:t>
      </w:r>
      <w:r>
        <w:rPr>
          <w:rFonts w:ascii="Lato;sans-serif" w:hAnsi="Lato;sans-serif"/>
          <w:b w:val="false"/>
          <w:i/>
          <w:color w:val="000000"/>
          <w:sz w:val="20"/>
        </w:rPr>
        <w:t>re</w:t>
      </w:r>
      <w:r>
        <w:rPr>
          <w:color w:val="000000"/>
        </w:rPr>
        <w:t xml:space="preserve"> </w:t>
      </w:r>
      <w:r>
        <w:rPr>
          <w:rFonts w:ascii="Lato;sans-serif" w:hAnsi="Lato;sans-serif"/>
          <w:b w:val="false"/>
          <w:color w:val="000000"/>
          <w:sz w:val="20"/>
        </w:rPr>
        <w:t>are useful to an investor in evaluating our operating performance because they help investors evaluate and compare the results of our operations from period to period by removing the impact of our capital structure (primarily interest expense) and our asset base (primarily depreciation and amortization, and in the case of EBITDA</w:t>
      </w:r>
      <w:r>
        <w:rPr>
          <w:rFonts w:ascii="Lato;sans-serif" w:hAnsi="Lato;sans-serif"/>
          <w:b w:val="false"/>
          <w:i/>
          <w:color w:val="000000"/>
          <w:sz w:val="20"/>
        </w:rPr>
        <w:t>re</w:t>
      </w:r>
      <w:r>
        <w:rPr>
          <w:rFonts w:ascii="Lato;sans-serif" w:hAnsi="Lato;sans-serif"/>
          <w:b w:val="false"/>
          <w:color w:val="000000"/>
          <w:sz w:val="20"/>
        </w:rPr>
        <w:t>, impairment and gains or losses on dispositions of depreciated property) from our operating results. In addition, covenants included in our debt agreements use EBITDA as a measure of financial compliance. We also use EBITDA and EBITDA</w:t>
      </w:r>
      <w:r>
        <w:rPr>
          <w:rFonts w:ascii="Lato;sans-serif" w:hAnsi="Lato;sans-serif"/>
          <w:b w:val="false"/>
          <w:i/>
          <w:color w:val="000000"/>
          <w:sz w:val="20"/>
        </w:rPr>
        <w:t>re</w:t>
      </w:r>
      <w:r>
        <w:rPr>
          <w:color w:val="000000"/>
        </w:rPr>
        <w:t xml:space="preserve"> </w:t>
      </w:r>
      <w:r>
        <w:rPr>
          <w:rFonts w:ascii="Lato;sans-serif" w:hAnsi="Lato;sans-serif"/>
          <w:b w:val="false"/>
          <w:color w:val="000000"/>
          <w:sz w:val="20"/>
        </w:rPr>
        <w:t>as measures in determining the value of hotel acquisitions and dispositions.</w:t>
      </w:r>
    </w:p>
    <w:p>
      <w:pPr>
        <w:pStyle w:val="TextBody"/>
        <w:bidi w:val="0"/>
        <w:spacing w:before="0" w:after="0"/>
        <w:ind w:left="0" w:right="0" w:firstLine="72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450215"/>
                <wp:effectExtent l="0" t="0" r="0" b="0"/>
                <wp:wrapNone/>
                <wp:docPr id="11" name="Frame10"/>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7</w:t>
                      </w:r>
                    </w:p>
                  </w:txbxContent>
                </v:textbox>
                <w10:wrap type="none"/>
              </v:rect>
            </w:pict>
          </mc:Fallback>
        </mc:AlternateContent>
      </w:r>
    </w:p>
    <w:p>
      <w:pPr>
        <w:pStyle w:val="TextBody"/>
        <w:bidi w:val="0"/>
        <w:spacing w:lineRule="auto" w:line="288" w:before="0" w:after="0"/>
        <w:jc w:val="left"/>
        <w:rPr>
          <w:rFonts w:ascii="Lato Black;sans-serif" w:hAnsi="Lato Black;sans-serif"/>
          <w:b/>
          <w:i/>
          <w:color w:val="000000"/>
          <w:sz w:val="20"/>
        </w:rPr>
      </w:pPr>
      <w:r>
        <w:rPr>
          <w:rFonts w:ascii="Lato Black;sans-serif" w:hAnsi="Lato Black;sans-serif"/>
          <w:b/>
          <w:i/>
          <w:color w:val="000000"/>
          <w:sz w:val="20"/>
        </w:rPr>
        <w:t>FFO</w:t>
      </w:r>
    </w:p>
    <w:p>
      <w:pPr>
        <w:pStyle w:val="TextBody"/>
        <w:bidi w:val="0"/>
        <w:spacing w:before="0" w:after="0"/>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The Company computes FFO in accordance with standards established by Nareit, which defines FFO as net income (calculated in accordance with U.S. GAAP) excluding gains or losses from sales of properties and impairment losses, plus real estate related depreciation and amortization. The Company believes that the presentation of FFO provides useful information to investors regarding its operating performance because it is a measure of the Company's operations without regard to specified non-cash items, such as real estate related depreciation and amortization and gains or losses on the sale of assets. The Company also uses FFO as one measure in assessing its operating results.</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i/>
          <w:color w:val="000000"/>
          <w:sz w:val="20"/>
        </w:rPr>
      </w:pPr>
      <w:r>
        <w:rPr>
          <w:rFonts w:ascii="Lato Black;sans-serif" w:hAnsi="Lato Black;sans-serif"/>
          <w:b/>
          <w:i/>
          <w:color w:val="000000"/>
          <w:sz w:val="20"/>
        </w:rPr>
        <w:t>Adjustments to EBITDAre and FFO</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pPr>
      <w:r>
        <w:rPr>
          <w:rFonts w:ascii="Lato;sans-serif" w:hAnsi="Lato;sans-serif"/>
          <w:b w:val="false"/>
          <w:color w:val="000000"/>
          <w:sz w:val="20"/>
        </w:rPr>
        <w:t>We adjust EBITDA</w:t>
      </w:r>
      <w:r>
        <w:rPr>
          <w:rFonts w:ascii="Lato;sans-serif" w:hAnsi="Lato;sans-serif"/>
          <w:b w:val="false"/>
          <w:i/>
          <w:color w:val="000000"/>
          <w:sz w:val="20"/>
        </w:rPr>
        <w:t xml:space="preserve">re </w:t>
      </w:r>
      <w:r>
        <w:rPr>
          <w:rFonts w:ascii="Lato;sans-serif" w:hAnsi="Lato;sans-serif"/>
          <w:b w:val="false"/>
          <w:color w:val="000000"/>
          <w:sz w:val="20"/>
        </w:rPr>
        <w:t>and FFO when evaluating our performance because we believe that the exclusion of certain additional items described below provides useful supplemental information to investors regarding our ongoing operating performance and that the presentation of Adjusted EBITDA and Adjusted FFO when combined with U.S. GAAP net income, EBITDA</w:t>
      </w:r>
      <w:r>
        <w:rPr>
          <w:rFonts w:ascii="Lato;sans-serif" w:hAnsi="Lato;sans-serif"/>
          <w:b w:val="false"/>
          <w:i/>
          <w:color w:val="000000"/>
          <w:sz w:val="20"/>
        </w:rPr>
        <w:t>re</w:t>
      </w:r>
      <w:r>
        <w:rPr>
          <w:color w:val="000000"/>
        </w:rPr>
        <w:t xml:space="preserve"> </w:t>
      </w:r>
      <w:r>
        <w:rPr>
          <w:rFonts w:ascii="Lato;sans-serif" w:hAnsi="Lato;sans-serif"/>
          <w:b w:val="false"/>
          <w:color w:val="000000"/>
          <w:sz w:val="20"/>
        </w:rPr>
        <w:t>and FFO, is beneficial to an investor's complete understanding of our consolidated and property-level operating performance. We adjust EBITDA</w:t>
      </w:r>
      <w:r>
        <w:rPr>
          <w:rFonts w:ascii="Lato;sans-serif" w:hAnsi="Lato;sans-serif"/>
          <w:b w:val="false"/>
          <w:i/>
          <w:color w:val="000000"/>
          <w:sz w:val="20"/>
        </w:rPr>
        <w:t xml:space="preserve">re </w:t>
      </w:r>
      <w:r>
        <w:rPr>
          <w:rFonts w:ascii="Lato;sans-serif" w:hAnsi="Lato;sans-serif"/>
          <w:b w:val="false"/>
          <w:color w:val="000000"/>
          <w:sz w:val="20"/>
        </w:rPr>
        <w:t>and FFO for the following items:</w:t>
      </w:r>
    </w:p>
    <w:p>
      <w:pPr>
        <w:pStyle w:val="TextBody"/>
        <w:bidi w:val="0"/>
        <w:spacing w:before="0" w:after="0"/>
        <w:ind w:left="0" w:right="0" w:firstLine="36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Non-Cash Lease Expense and Other Amortization</w:t>
      </w:r>
      <w:r>
        <w:rPr>
          <w:rFonts w:ascii="Lato;sans-serif" w:hAnsi="Lato;sans-serif"/>
          <w:b w:val="false"/>
          <w:color w:val="000000"/>
          <w:sz w:val="20"/>
        </w:rPr>
        <w:t>: We exclude the non-cash expense incurred from the straight line recognition of expense from our ground leases and other contractual obligations and the non-cash amortization of our favorable and unfavorable contracts, originally recorded in conjunction with certain hotel acquisitions. We exclude these non-cash items because they do not reflect the actual cash amounts due to the respective lessors in the current period and they are of lesser significance in evaluating our actual performance for that period.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Cumulative Effect of a Change in Accounting Principle</w:t>
      </w:r>
      <w:r>
        <w:rPr>
          <w:rFonts w:ascii="Lato;sans-serif" w:hAnsi="Lato;sans-serif"/>
          <w:b w:val="false"/>
          <w:color w:val="000000"/>
          <w:sz w:val="20"/>
        </w:rPr>
        <w:t>: The Financial Accounting Standards Board promulgates new accounting standards that require or permit the consolidated statement of operations and comprehensive income to reflect the cumulative effect of a change in accounting principle. We exclude the effect of these adjustments, which include the accounting impact from prior periods, because they do not reflect the Company’s actual underlying performance for the current period.</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Gains or Losses from Debt Extinguishment</w:t>
      </w:r>
      <w:r>
        <w:rPr>
          <w:rFonts w:ascii="Lato;sans-serif" w:hAnsi="Lato;sans-serif"/>
          <w:b w:val="false"/>
          <w:color w:val="000000"/>
          <w:sz w:val="20"/>
        </w:rPr>
        <w:t>: We exclude the effect of gains or losses recorded on debt extinguishment because these gains or losses result from transaction activity related to the Company’s capital structure that we believe are not indicative of the ongoing operating performance of the Company or our hotels.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Hotel Acquisition Costs</w:t>
      </w:r>
      <w:r>
        <w:rPr>
          <w:rFonts w:ascii="Lato;sans-serif" w:hAnsi="Lato;sans-serif"/>
          <w:b w:val="false"/>
          <w:color w:val="000000"/>
          <w:sz w:val="20"/>
        </w:rPr>
        <w:t>: We exclude hotel acquisition costs expensed during the period because we believe these transaction costs are not reflective of the ongoing performance of the Company or our hotels.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Severance Costs</w:t>
      </w:r>
      <w:r>
        <w:rPr>
          <w:rFonts w:ascii="Lato;sans-serif" w:hAnsi="Lato;sans-serif"/>
          <w:b w:val="false"/>
          <w:color w:val="000000"/>
          <w:sz w:val="20"/>
        </w:rPr>
        <w:t>: We exclude corporate severance costs, or reversals thereof, incurred with the termination of corporate-level employees and severance costs incurred at our hotels related to lease terminations or structured severance programs because we believe these costs do not reflect the ongoing performance of the Company or our hotels.</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Hotel Manager Transition and Hotel Pre-Opening Costs</w:t>
      </w:r>
      <w:r>
        <w:rPr>
          <w:rFonts w:ascii="Lato;sans-serif" w:hAnsi="Lato;sans-serif"/>
          <w:b w:val="false"/>
          <w:color w:val="000000"/>
          <w:sz w:val="20"/>
        </w:rPr>
        <w:t>: We exclude the transition costs associated with a change in hotel manager and the pre-opening costs associated with the redevelopment or rebranding of a hotel because we believe these items do not reflect the ongoing performance of the Company or our hotels.</w:t>
      </w:r>
    </w:p>
    <w:p>
      <w:pPr>
        <w:pStyle w:val="TextBody"/>
        <w:bidi w:val="0"/>
        <w:spacing w:before="0" w:after="0"/>
        <w:ind w:left="0" w:right="0" w:firstLine="9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Share-Based Compensation Expense: W</w:t>
      </w:r>
      <w:r>
        <w:rPr>
          <w:rFonts w:ascii="Lato;sans-serif" w:hAnsi="Lato;sans-serif"/>
          <w:b w:val="false"/>
          <w:color w:val="000000"/>
          <w:sz w:val="20"/>
        </w:rPr>
        <w:t xml:space="preserve">e exclude share-based compensation expense as it is a non-cash item. This adjustment aligns with the calculation of Adjusted EBITDA for our financial covenant ratios under our credit facility, supporting consistency in our financial reporting and covenant compliance, as well as comparability with our peers. </w:t>
      </w:r>
    </w:p>
    <w:p>
      <w:pPr>
        <w:pStyle w:val="TextBody"/>
        <w:bidi w:val="0"/>
        <w:spacing w:before="0" w:after="0"/>
        <w:jc w:val="left"/>
        <w:rPr/>
      </w:pPr>
      <w:r>
        <w:rPr/>
      </w:r>
    </w:p>
    <w:p>
      <w:pPr>
        <w:pStyle w:val="TextBody"/>
        <w:bidi w:val="0"/>
        <w:spacing w:lineRule="auto" w:line="288" w:before="0" w:after="0"/>
        <w:ind w:left="0" w:right="0" w:hanging="270"/>
        <w:jc w:val="left"/>
        <w:rPr/>
      </w:pPr>
      <w:r>
        <w:rPr>
          <w:color w:val="000000"/>
        </w:rPr>
        <w:t>•</w:t>
      </w:r>
      <w:r>
        <w:rPr>
          <w:rFonts w:ascii="Lato;sans-serif" w:hAnsi="Lato;sans-serif"/>
          <w:b w:val="false"/>
          <w:i/>
          <w:color w:val="000000"/>
          <w:sz w:val="20"/>
        </w:rPr>
        <w:t>Other Items</w:t>
      </w:r>
      <w:r>
        <w:rPr>
          <w:rFonts w:ascii="Lato;sans-serif" w:hAnsi="Lato;sans-serif"/>
          <w:b w:val="false"/>
          <w:color w:val="000000"/>
          <w:sz w:val="20"/>
        </w:rPr>
        <w:t>: From time to time we incur costs or realize gains that we consider outside the ordinary course of business and that we do not believe reflect the ongoing performance of the Company or our hotels. Such items may include, but are not limited to, the following: non-cash realized gains or losses on our deferred compensation plan assets; management or franchise contract termination fees; terminated transaction costs; gains or losses from legal settlements; costs incurred related to natural disasters; and gains on property insurance claim settlements, other than income related to business interruption insurance.</w:t>
      </w:r>
    </w:p>
    <w:p>
      <w:pPr>
        <w:pStyle w:val="TextBody"/>
        <w:bidi w:val="0"/>
        <w:ind w:left="0" w:right="0" w:firstLine="720"/>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450215"/>
                <wp:effectExtent l="0" t="0" r="0" b="0"/>
                <wp:wrapNone/>
                <wp:docPr id="12" name="Frame11"/>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8</w:t>
                      </w:r>
                    </w:p>
                  </w:txbxContent>
                </v:textbox>
                <w10:wrap type="none"/>
              </v:rect>
            </w:pict>
          </mc:Fallback>
        </mc:AlternateContent>
      </w:r>
    </w:p>
    <w:p>
      <w:pPr>
        <w:pStyle w:val="TextBody"/>
        <w:bidi w:val="0"/>
        <w:spacing w:lineRule="auto" w:line="288" w:before="0" w:after="0"/>
        <w:ind w:left="0" w:right="0" w:firstLine="450"/>
        <w:jc w:val="left"/>
        <w:rPr>
          <w:rFonts w:ascii="Lato;sans-serif" w:hAnsi="Lato;sans-serif"/>
          <w:b w:val="false"/>
          <w:color w:val="000000"/>
          <w:sz w:val="20"/>
        </w:rPr>
      </w:pPr>
      <w:r>
        <w:rPr>
          <w:rFonts w:ascii="Lato;sans-serif" w:hAnsi="Lato;sans-serif"/>
          <w:b w:val="false"/>
          <w:color w:val="000000"/>
          <w:sz w:val="20"/>
        </w:rPr>
        <w:t>In addition, to derive Adjusted FFO, we exclude any unrealized fair value adjustments to interest rate swaps and the portion of our non-cash ground lease expense recognized as interest expense. We exclude these non-cash amounts because they do not reflect the underlying performance of the Company.</w:t>
      </w:r>
    </w:p>
    <w:p>
      <w:pPr>
        <w:pStyle w:val="TextBody"/>
        <w:bidi w:val="0"/>
        <w:spacing w:before="0" w:after="0"/>
        <w:ind w:left="0" w:right="0" w:firstLine="450"/>
        <w:jc w:val="left"/>
        <w:rPr/>
      </w:pPr>
      <w:r>
        <w:rPr/>
      </w:r>
    </w:p>
    <w:p>
      <w:pPr>
        <w:pStyle w:val="TextBody"/>
        <w:bidi w:val="0"/>
        <w:spacing w:lineRule="auto" w:line="288" w:before="0" w:after="0"/>
        <w:jc w:val="left"/>
        <w:rPr>
          <w:rFonts w:ascii="Lato Black;sans-serif" w:hAnsi="Lato Black;sans-serif"/>
          <w:b/>
          <w:i/>
          <w:color w:val="000000"/>
          <w:sz w:val="20"/>
        </w:rPr>
      </w:pPr>
      <w:r>
        <w:rPr>
          <w:rFonts w:ascii="Lato Black;sans-serif" w:hAnsi="Lato Black;sans-serif"/>
          <w:b/>
          <w:i/>
          <w:color w:val="000000"/>
          <w:sz w:val="20"/>
        </w:rPr>
        <w:t>Hotel Adjusted EBITDA</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 xml:space="preserve">We believe that Hotel Adjusted EBITDA provides our investors a useful financial measure to evaluate our hotel operating performance, excluding the impact of our capital structure (primarily interest), our asset base (primarily depreciation and amortization), and our corporate-level expenses. With respect to Hotel Adjusted EBITDA, we believe that excluding the effect of corporate-level expenses provides a more complete understanding of the operating results over which individual hotels and third-party management companies have direct control. We believe property-level results provide investors with supplemental information on the ongoing operational performance of our hotels and effectiveness of the third-party management companies operating our business on a property-level basis. Hotel Adjusted EBITDA margins are calculated as Hotel Adjusted EBITDA divided by total hotel revenues. </w:t>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i/>
          <w:color w:val="000000"/>
          <w:sz w:val="20"/>
        </w:rPr>
      </w:pPr>
      <w:r>
        <w:rPr>
          <w:rFonts w:ascii="Lato Black;sans-serif" w:hAnsi="Lato Black;sans-serif"/>
          <w:b/>
          <w:i/>
          <w:color w:val="000000"/>
          <w:sz w:val="20"/>
        </w:rPr>
        <w:t>Comparable Hotel Operating Statistics and Results</w:t>
      </w:r>
    </w:p>
    <w:p>
      <w:pPr>
        <w:pStyle w:val="TextBody"/>
        <w:bidi w:val="0"/>
        <w:spacing w:before="0" w:after="0"/>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 xml:space="preserve">We believe that presenting comparable hotel operating statistics (such as ADR, occupancy, RevPAR, Total RevPAR and Available Rooms) and results (such as Room Revenues, Total Revenues, Hotel Adjusted EBITDA, and Hotel Adjusted EBITDA Margin) is useful to investors because these measures help facilitate year-over-year comparisons of the performance of hotels owned by us as of the reporting date. Our comparable portfolio includes hotels (i) owned and in operation by us for the entirety of the periods presented and (ii) acquired by us during the period as though the acquisition happened at the beginning of the period presented. We make adjustments for recently acquired hotels to include operating statistics and results for periods prior to our ownership. As a result, changes as compared to periods prior to our ownership will not necessarily correspond to changes in our actual results. In addition, comparable metrics exclude results and operating statistics for hotels that were sold during the reporting period or held for sale at the end of the period. We believe these comparable measures provide more consistent metrics for comparing the performance of our hotels. </w:t>
      </w:r>
    </w:p>
    <w:p>
      <w:pPr>
        <w:pStyle w:val="TextBody"/>
        <w:bidi w:val="0"/>
        <w:spacing w:before="0" w:after="0"/>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 xml:space="preserve">Our comparable portfolio for the six months ended June 30, 2026 includes all of our hotels owned as of June 30, 2026 and excludes the Courtyard New York Manhattan/Fifth Avenue sold on May 1, 2026 and the Westin Washington D.C. City Center sold on February 19, 2025.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450215"/>
                <wp:effectExtent l="0" t="0" r="0" b="0"/>
                <wp:wrapNone/>
                <wp:docPr id="13" name="Frame12"/>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9</w:t>
                      </w:r>
                    </w:p>
                  </w:txbxContent>
                </v:textbox>
                <w10:wrap type="none"/>
              </v:rect>
            </w:pict>
          </mc:Fallback>
        </mc:AlternateConten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Reconciliations of Non-GAAP Measures</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Lato Black;sans-serif" w:hAnsi="Lato Black;sans-serif"/>
          <w:b/>
          <w:i/>
          <w:color w:val="000000"/>
          <w:sz w:val="20"/>
        </w:rPr>
      </w:pPr>
      <w:r>
        <w:rPr>
          <w:rFonts w:ascii="Lato Black;sans-serif" w:hAnsi="Lato Black;sans-serif"/>
          <w:b/>
          <w:i/>
          <w:color w:val="000000"/>
          <w:sz w:val="20"/>
        </w:rPr>
        <w:t>EBITDA, EBITDAre, Adjusted EBITDA and Hotel Adjusted EBITDA</w:t>
      </w:r>
    </w:p>
    <w:p>
      <w:pPr>
        <w:pStyle w:val="TextBody"/>
        <w:bidi w:val="0"/>
        <w:spacing w:before="0" w:after="0"/>
        <w:ind w:left="0" w:right="0" w:firstLine="720"/>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 xml:space="preserve">The following tables are reconciliations of our GAAP net income to EBITDA, EBITDAre, Adjusted EBITDA and Hotel Adjusted EBITDA (in thousands): </w:t>
      </w:r>
    </w:p>
    <w:tbl>
      <w:tblPr>
        <w:tblW w:w="10205" w:type="dxa"/>
        <w:jc w:val="left"/>
        <w:tblInd w:w="0" w:type="dxa"/>
        <w:tblLayout w:type="fixed"/>
        <w:tblCellMar>
          <w:top w:w="28" w:type="dxa"/>
          <w:left w:w="28" w:type="dxa"/>
          <w:bottom w:w="28" w:type="dxa"/>
          <w:right w:w="28" w:type="dxa"/>
        </w:tblCellMar>
      </w:tblPr>
      <w:tblGrid>
        <w:gridCol w:w="1504"/>
        <w:gridCol w:w="1204"/>
        <w:gridCol w:w="1211"/>
        <w:gridCol w:w="246"/>
        <w:gridCol w:w="1032"/>
        <w:gridCol w:w="118"/>
        <w:gridCol w:w="118"/>
        <w:gridCol w:w="118"/>
        <w:gridCol w:w="118"/>
        <w:gridCol w:w="246"/>
        <w:gridCol w:w="901"/>
        <w:gridCol w:w="118"/>
        <w:gridCol w:w="109"/>
        <w:gridCol w:w="109"/>
        <w:gridCol w:w="109"/>
        <w:gridCol w:w="226"/>
        <w:gridCol w:w="947"/>
        <w:gridCol w:w="109"/>
        <w:gridCol w:w="109"/>
        <w:gridCol w:w="109"/>
        <w:gridCol w:w="109"/>
        <w:gridCol w:w="226"/>
        <w:gridCol w:w="947"/>
        <w:gridCol w:w="162"/>
      </w:tblGrid>
      <w:tr>
        <w:trPr/>
        <w:tc>
          <w:tcPr>
            <w:tcW w:w="1504" w:type="dxa"/>
            <w:tcBorders/>
            <w:vAlign w:val="center"/>
          </w:tcPr>
          <w:p>
            <w:pPr>
              <w:pStyle w:val="TableContents"/>
              <w:bidi w:val="0"/>
              <w:spacing w:before="0" w:after="283"/>
              <w:jc w:val="left"/>
              <w:rPr>
                <w:sz w:val="4"/>
                <w:szCs w:val="4"/>
              </w:rPr>
            </w:pPr>
            <w:r>
              <w:rPr>
                <w:sz w:val="4"/>
                <w:szCs w:val="4"/>
              </w:rPr>
            </w:r>
          </w:p>
        </w:tc>
        <w:tc>
          <w:tcPr>
            <w:tcW w:w="120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90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 xml:space="preserve">Six Months Ended June 30, </w:t>
            </w:r>
          </w:p>
        </w:tc>
      </w:tr>
      <w:tr>
        <w:trPr/>
        <w:tc>
          <w:tcPr>
            <w:tcW w:w="3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 xml:space="preserve">Net income </w:t>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90,758 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0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41,039 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105,291 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52,954 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 xml:space="preserve">Interest expense </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14,442 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14,868 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29,132 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30,026 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 xml:space="preserve">Income tax expense </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1,680 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Real estate related depreciation and amortization</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28,841 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28,156 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57,381 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56,048 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EBITDA</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135,721 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85,054 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193,530 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139,177 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 xml:space="preserve">Gain on sale of hotel property, net </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000000"/>
                <w:sz w:val="18"/>
              </w:rPr>
              <w:t>EBITDA</w:t>
            </w:r>
            <w:r>
              <w:rPr>
                <w:rFonts w:ascii="Lato;sans-serif" w:hAnsi="Lato;sans-serif"/>
                <w:b/>
                <w:i/>
                <w:color w:val="000000"/>
                <w:sz w:val="18"/>
              </w:rPr>
              <w:t>re</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104,130 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85,054 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161,939 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139,177 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Non-cash lease expense and other amortization</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1,347 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1,284 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Share-based compensation expense </w:t>
            </w:r>
            <w:r>
              <w:rPr>
                <w:rFonts w:ascii="Lato;sans-serif" w:hAnsi="Lato;sans-serif"/>
                <w:b w:val="false"/>
                <w:color w:val="000000"/>
                <w:sz w:val="12"/>
              </w:rPr>
              <w:t>(1)</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3,571 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2,891 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5,133 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3,556 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Hotel pre-opening costs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321 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344 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Terminated transaction costs</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907 </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Other </w:t>
            </w:r>
            <w:r>
              <w:rPr>
                <w:rFonts w:ascii="Lato;sans-serif" w:hAnsi="Lato;sans-serif"/>
                <w:b w:val="false"/>
                <w:color w:val="000000"/>
                <w:sz w:val="12"/>
              </w:rPr>
              <w:t>(2)</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Adjusted EBITDA</w:t>
            </w:r>
          </w:p>
        </w:tc>
        <w:tc>
          <w:tcPr>
            <w:tcW w:w="127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107,890 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90,457 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168,489 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146,567 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Corporate expenses</w:t>
            </w:r>
          </w:p>
        </w:tc>
        <w:tc>
          <w:tcPr>
            <w:tcW w:w="12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6,598 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5,655 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12,782 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12,003 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vAlign w:val="center"/>
          </w:tcPr>
          <w:p>
            <w:pPr>
              <w:pStyle w:val="TableContents"/>
              <w:bidi w:val="0"/>
              <w:spacing w:before="0" w:after="283"/>
              <w:jc w:val="left"/>
              <w:rPr>
                <w:sz w:val="4"/>
                <w:szCs w:val="4"/>
              </w:rPr>
            </w:pPr>
            <w:r>
              <w:rPr>
                <w:sz w:val="4"/>
                <w:szCs w:val="4"/>
              </w:rPr>
            </w:r>
          </w:p>
        </w:tc>
        <w:tc>
          <w:tcPr>
            <w:tcW w:w="1396"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26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335" w:type="dxa"/>
            <w:gridSpan w:val="3"/>
            <w:tcBorders/>
            <w:vAlign w:val="center"/>
          </w:tcPr>
          <w:p>
            <w:pPr>
              <w:pStyle w:val="TableContents"/>
              <w:bidi w:val="0"/>
              <w:spacing w:before="0" w:after="283"/>
              <w:jc w:val="left"/>
              <w:rPr>
                <w:sz w:val="4"/>
                <w:szCs w:val="4"/>
              </w:rPr>
            </w:pPr>
            <w:r>
              <w:rPr>
                <w:sz w:val="4"/>
                <w:szCs w:val="4"/>
              </w:rPr>
            </w:r>
          </w:p>
        </w:tc>
      </w:tr>
      <w:tr>
        <w:trPr/>
        <w:tc>
          <w:tcPr>
            <w:tcW w:w="391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Interest (income) and other (income) expense, net</w:t>
            </w:r>
          </w:p>
        </w:tc>
        <w:tc>
          <w:tcPr>
            <w:tcW w:w="127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(765)</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(752)</w:t>
            </w:r>
          </w:p>
        </w:tc>
        <w:tc>
          <w:tcPr>
            <w:tcW w:w="1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(1,392)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(1,546)</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Hotel Adjusted EBITDA</w:t>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113,723 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0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95,360 </w:t>
            </w:r>
          </w:p>
        </w:tc>
        <w:tc>
          <w:tcPr>
            <w:tcW w:w="11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179,879 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157,024 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180"/>
        <w:jc w:val="left"/>
        <w:rPr/>
      </w:pPr>
      <w:r>
        <w:rPr>
          <w:rFonts w:ascii="Lato;sans-serif" w:hAnsi="Lato;sans-serif"/>
          <w:b w:val="false"/>
          <w:color w:val="000000"/>
          <w:sz w:val="10"/>
        </w:rPr>
        <w:t xml:space="preserve">(1) </w:t>
      </w:r>
      <w:r>
        <w:rPr>
          <w:rFonts w:ascii="Lato;sans-serif" w:hAnsi="Lato;sans-serif"/>
          <w:b w:val="false"/>
          <w:color w:val="000000"/>
          <w:sz w:val="16"/>
        </w:rPr>
        <w:t>For each of the three months ended June 30, 2026 and 2025, amounts include less than $0.1 million of non-cash income related to our deferred compensation plan. For the six months ended June 30, 2026 and 2025, amounts include less than $0.1 million and $0.7 million, respectively, of non-cash income related to our deferred compensation plan.</w:t>
      </w:r>
    </w:p>
    <w:p>
      <w:pPr>
        <w:pStyle w:val="TextBody"/>
        <w:bidi w:val="0"/>
        <w:spacing w:lineRule="auto" w:line="288" w:before="100" w:after="60"/>
        <w:ind w:left="0" w:right="0" w:hanging="180"/>
        <w:jc w:val="left"/>
        <w:rPr/>
      </w:pPr>
      <w:r>
        <w:rPr>
          <w:rFonts w:ascii="Lato;sans-serif" w:hAnsi="Lato;sans-serif"/>
          <w:b w:val="false"/>
          <w:color w:val="000000"/>
          <w:sz w:val="10"/>
        </w:rPr>
        <w:t xml:space="preserve">(2) </w:t>
      </w:r>
      <w:r>
        <w:rPr>
          <w:rFonts w:ascii="Lato;sans-serif" w:hAnsi="Lato;sans-serif"/>
          <w:b w:val="false"/>
          <w:color w:val="000000"/>
          <w:sz w:val="16"/>
        </w:rPr>
        <w:t>Amount reflects the reversal of a previously recognized accrual related to a loss contingency.</w:t>
      </w:r>
    </w:p>
    <w:tbl>
      <w:tblPr>
        <w:tblW w:w="7712" w:type="dxa"/>
        <w:jc w:val="left"/>
        <w:tblInd w:w="0" w:type="dxa"/>
        <w:tblLayout w:type="fixed"/>
        <w:tblCellMar>
          <w:top w:w="28" w:type="dxa"/>
          <w:left w:w="28" w:type="dxa"/>
          <w:bottom w:w="28" w:type="dxa"/>
          <w:right w:w="28" w:type="dxa"/>
        </w:tblCellMar>
      </w:tblPr>
      <w:tblGrid>
        <w:gridCol w:w="1658"/>
        <w:gridCol w:w="1453"/>
        <w:gridCol w:w="1464"/>
        <w:gridCol w:w="226"/>
        <w:gridCol w:w="946"/>
        <w:gridCol w:w="109"/>
        <w:gridCol w:w="109"/>
        <w:gridCol w:w="109"/>
        <w:gridCol w:w="109"/>
        <w:gridCol w:w="260"/>
        <w:gridCol w:w="1092"/>
        <w:gridCol w:w="177"/>
      </w:tblGrid>
      <w:tr>
        <w:trPr/>
        <w:tc>
          <w:tcPr>
            <w:tcW w:w="1658" w:type="dxa"/>
            <w:tcBorders/>
            <w:vAlign w:val="center"/>
          </w:tcPr>
          <w:p>
            <w:pPr>
              <w:pStyle w:val="TableContents"/>
              <w:bidi w:val="0"/>
              <w:spacing w:before="0" w:after="283"/>
              <w:jc w:val="left"/>
              <w:rPr>
                <w:sz w:val="4"/>
                <w:szCs w:val="4"/>
              </w:rPr>
            </w:pPr>
            <w:r>
              <w:rPr>
                <w:sz w:val="4"/>
                <w:szCs w:val="4"/>
              </w:rPr>
            </w:r>
          </w:p>
        </w:tc>
        <w:tc>
          <w:tcPr>
            <w:tcW w:w="1453" w:type="dxa"/>
            <w:tcBorders/>
            <w:vAlign w:val="center"/>
          </w:tcPr>
          <w:p>
            <w:pPr>
              <w:pStyle w:val="TableContents"/>
              <w:bidi w:val="0"/>
              <w:spacing w:before="0" w:after="283"/>
              <w:jc w:val="left"/>
              <w:rPr>
                <w:sz w:val="4"/>
                <w:szCs w:val="4"/>
              </w:rPr>
            </w:pPr>
            <w:r>
              <w:rPr>
                <w:sz w:val="4"/>
                <w:szCs w:val="4"/>
              </w:rPr>
            </w:r>
          </w:p>
        </w:tc>
        <w:tc>
          <w:tcPr>
            <w:tcW w:w="1464"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1092"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7"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Full Year 2026 Guidance</w:t>
            </w:r>
          </w:p>
        </w:tc>
      </w:tr>
      <w:tr>
        <w:trPr/>
        <w:tc>
          <w:tcPr>
            <w:tcW w:w="457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firstLine="450"/>
              <w:jc w:val="center"/>
              <w:rPr>
                <w:rFonts w:ascii="Lato;sans-serif" w:hAnsi="Lato;sans-serif"/>
                <w:b/>
                <w:color w:val="000000"/>
                <w:sz w:val="18"/>
              </w:rPr>
            </w:pPr>
            <w:r>
              <w:rPr>
                <w:rFonts w:ascii="Lato;sans-serif" w:hAnsi="Lato;sans-serif"/>
                <w:b/>
                <w:color w:val="000000"/>
                <w:sz w:val="18"/>
              </w:rPr>
              <w:t>High End</w:t>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Net income</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163,149 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Interest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59,750 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58,750 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 xml:space="preserve">Income tax expense </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Real estate related 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110,500 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EBITDA</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328,399 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338,399 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Gain on sale of hotel property, net</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000000"/>
                <w:sz w:val="18"/>
              </w:rPr>
              <w:t>EBITDA</w:t>
            </w:r>
            <w:r>
              <w:rPr>
                <w:rFonts w:ascii="Lato;sans-serif" w:hAnsi="Lato;sans-serif"/>
                <w:b/>
                <w:i/>
                <w:color w:val="000000"/>
                <w:sz w:val="18"/>
              </w:rPr>
              <w:t>re</w:t>
            </w:r>
          </w:p>
        </w:tc>
        <w:tc>
          <w:tcPr>
            <w:tcW w:w="117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296,808 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306,808 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Non-cash lease expense and other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5,350 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Share-based compensation expense</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9,000 </w:t>
            </w:r>
          </w:p>
        </w:tc>
        <w:tc>
          <w:tcPr>
            <w:tcW w:w="17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29" w:type="dxa"/>
            <w:gridSpan w:val="3"/>
            <w:tcBorders/>
            <w:vAlign w:val="center"/>
          </w:tcPr>
          <w:p>
            <w:pPr>
              <w:pStyle w:val="TableContents"/>
              <w:bidi w:val="0"/>
              <w:spacing w:before="0" w:after="283"/>
              <w:jc w:val="left"/>
              <w:rPr>
                <w:sz w:val="4"/>
                <w:szCs w:val="4"/>
              </w:rPr>
            </w:pPr>
            <w:r>
              <w:rPr>
                <w:sz w:val="4"/>
                <w:szCs w:val="4"/>
              </w:rPr>
            </w:r>
          </w:p>
        </w:tc>
      </w:tr>
      <w:tr>
        <w:trPr/>
        <w:tc>
          <w:tcPr>
            <w:tcW w:w="45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Other </w:t>
            </w:r>
            <w:r>
              <w:rPr>
                <w:rFonts w:ascii="Lato;sans-serif" w:hAnsi="Lato;sans-serif"/>
                <w:b w:val="false"/>
                <w:color w:val="000000"/>
                <w:sz w:val="12"/>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Adjusted EBITDA</w:t>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310,000 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9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320,000 </w:t>
            </w:r>
          </w:p>
        </w:tc>
        <w:tc>
          <w:tcPr>
            <w:tcW w:w="17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60"/>
        <w:ind w:left="0" w:right="0" w:hanging="180"/>
        <w:jc w:val="left"/>
        <w:rPr/>
      </w:pPr>
      <w:r>
        <w:rPr>
          <w:rFonts w:ascii="Lato;sans-serif" w:hAnsi="Lato;sans-serif"/>
          <w:b w:val="false"/>
          <w:color w:val="000000"/>
          <w:sz w:val="10"/>
        </w:rPr>
        <w:t xml:space="preserve">(1) </w:t>
      </w:r>
      <w:r>
        <w:rPr>
          <w:rFonts w:ascii="Lato;sans-serif" w:hAnsi="Lato;sans-serif"/>
          <w:b w:val="false"/>
          <w:color w:val="000000"/>
          <w:sz w:val="16"/>
        </w:rPr>
        <w:t>Amount reflects the reversal of a previously recognized accrual related to a loss contingency.</w:t>
      </w:r>
      <w:r>
        <w:rPr>
          <w:color w:val="000000"/>
        </w:rPr>
        <w:t xml:space="preserve"> </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450215"/>
                <wp:effectExtent l="0" t="0" r="0" b="0"/>
                <wp:wrapNone/>
                <wp:docPr id="14" name="Frame13"/>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10</w:t>
                      </w:r>
                    </w:p>
                  </w:txbxContent>
                </v:textbox>
                <w10:wrap type="none"/>
              </v:rect>
            </w:pict>
          </mc:Fallback>
        </mc:AlternateContent>
      </w:r>
    </w:p>
    <w:p>
      <w:pPr>
        <w:pStyle w:val="TextBody"/>
        <w:bidi w:val="0"/>
        <w:spacing w:lineRule="auto" w:line="288" w:before="60" w:after="180"/>
        <w:jc w:val="left"/>
        <w:rPr>
          <w:rFonts w:ascii="Lato Black;sans-serif" w:hAnsi="Lato Black;sans-serif"/>
          <w:b/>
          <w:i/>
          <w:color w:val="000000"/>
          <w:sz w:val="20"/>
        </w:rPr>
      </w:pPr>
      <w:r>
        <w:rPr>
          <w:rFonts w:ascii="Lato Black;sans-serif" w:hAnsi="Lato Black;sans-serif"/>
          <w:b/>
          <w:i/>
          <w:color w:val="000000"/>
          <w:sz w:val="20"/>
        </w:rPr>
        <w:t xml:space="preserve">FFO and Adjusted FFO </w:t>
      </w:r>
    </w:p>
    <w:p>
      <w:pPr>
        <w:pStyle w:val="TextBody"/>
        <w:bidi w:val="0"/>
        <w:spacing w:lineRule="auto" w:line="288" w:before="0" w:after="240"/>
        <w:ind w:left="0" w:right="0" w:firstLine="360"/>
        <w:jc w:val="left"/>
        <w:rPr>
          <w:rFonts w:ascii="Lato;sans-serif" w:hAnsi="Lato;sans-serif"/>
          <w:b w:val="false"/>
          <w:color w:val="000000"/>
          <w:sz w:val="20"/>
        </w:rPr>
      </w:pPr>
      <w:r>
        <w:rPr>
          <w:rFonts w:ascii="Lato;sans-serif" w:hAnsi="Lato;sans-serif"/>
          <w:b w:val="false"/>
          <w:color w:val="000000"/>
          <w:sz w:val="20"/>
        </w:rPr>
        <w:t xml:space="preserve">The following tables are reconciliations of our GAAP net income to FFO and Adjusted FFO (in thousands except per share amounts): </w:t>
      </w:r>
    </w:p>
    <w:tbl>
      <w:tblPr>
        <w:tblW w:w="10205" w:type="dxa"/>
        <w:jc w:val="left"/>
        <w:tblInd w:w="0" w:type="dxa"/>
        <w:tblLayout w:type="fixed"/>
        <w:tblCellMar>
          <w:top w:w="28" w:type="dxa"/>
          <w:left w:w="28" w:type="dxa"/>
          <w:bottom w:w="28" w:type="dxa"/>
          <w:right w:w="28" w:type="dxa"/>
        </w:tblCellMar>
      </w:tblPr>
      <w:tblGrid>
        <w:gridCol w:w="1420"/>
        <w:gridCol w:w="1161"/>
        <w:gridCol w:w="1112"/>
        <w:gridCol w:w="239"/>
        <w:gridCol w:w="875"/>
        <w:gridCol w:w="115"/>
        <w:gridCol w:w="115"/>
        <w:gridCol w:w="115"/>
        <w:gridCol w:w="115"/>
        <w:gridCol w:w="239"/>
        <w:gridCol w:w="875"/>
        <w:gridCol w:w="115"/>
        <w:gridCol w:w="109"/>
        <w:gridCol w:w="127"/>
        <w:gridCol w:w="127"/>
        <w:gridCol w:w="127"/>
        <w:gridCol w:w="265"/>
        <w:gridCol w:w="1109"/>
        <w:gridCol w:w="127"/>
        <w:gridCol w:w="127"/>
        <w:gridCol w:w="127"/>
        <w:gridCol w:w="127"/>
        <w:gridCol w:w="226"/>
        <w:gridCol w:w="946"/>
        <w:gridCol w:w="165"/>
      </w:tblGrid>
      <w:tr>
        <w:trPr/>
        <w:tc>
          <w:tcPr>
            <w:tcW w:w="1420" w:type="dxa"/>
            <w:tcBorders/>
            <w:vAlign w:val="center"/>
          </w:tcPr>
          <w:p>
            <w:pPr>
              <w:pStyle w:val="TableContents"/>
              <w:bidi w:val="0"/>
              <w:spacing w:before="0" w:after="283"/>
              <w:jc w:val="left"/>
              <w:rPr>
                <w:sz w:val="4"/>
                <w:szCs w:val="4"/>
              </w:rPr>
            </w:pPr>
            <w:r>
              <w:rPr>
                <w:sz w:val="4"/>
                <w:szCs w:val="4"/>
              </w:rPr>
            </w:r>
          </w:p>
        </w:tc>
        <w:tc>
          <w:tcPr>
            <w:tcW w:w="1161"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0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Three Months Ended June 30,</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 xml:space="preserve">Six Months Ended June 30, </w:t>
            </w:r>
          </w:p>
        </w:tc>
        <w:tc>
          <w:tcPr>
            <w:tcW w:w="1337" w:type="dxa"/>
            <w:gridSpan w:val="3"/>
            <w:tcBorders/>
          </w:tcPr>
          <w:p>
            <w:pPr>
              <w:pStyle w:val="TableContents"/>
              <w:bidi w:val="0"/>
              <w:spacing w:before="0" w:after="283"/>
              <w:jc w:val="left"/>
              <w:rPr>
                <w:sz w:val="4"/>
                <w:szCs w:val="4"/>
              </w:rPr>
            </w:pPr>
            <w:r>
              <w:rPr>
                <w:sz w:val="4"/>
                <w:szCs w:val="4"/>
              </w:rPr>
            </w:r>
          </w:p>
        </w:tc>
      </w:tr>
      <w:tr>
        <w:trPr/>
        <w:tc>
          <w:tcPr>
            <w:tcW w:w="36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8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 xml:space="preserve">Net income </w:t>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90,758 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41,039 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105,291 </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52,954 </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Real estate related depreciation and amortization</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28,841 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28,156 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57,381 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56,048 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Gain on sale of hotel property, net</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FFO</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88,008 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69,195 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131,081 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109,002 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Distribution to preferred stockholders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(2,454)</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(4,908)</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FFO available to common stock and unit holders</w:t>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88,008 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66,741 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131,081 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104,094 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Non-cash lease expense and other amortization</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1,411 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1,470 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2,827 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2,945 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Share-based compensation expense </w:t>
            </w:r>
            <w:r>
              <w:rPr>
                <w:rFonts w:ascii="Lato;sans-serif" w:hAnsi="Lato;sans-serif"/>
                <w:b w:val="false"/>
                <w:color w:val="000000"/>
                <w:sz w:val="12"/>
              </w:rPr>
              <w:t>(1)</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3,571 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2,891 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5,133 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3,556 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Terminated transaction costs</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907 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Hotel pre-opening costs</w:t>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321 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344 </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345" w:type="dxa"/>
            <w:gridSpan w:val="3"/>
            <w:tcBorders/>
            <w:vAlign w:val="center"/>
          </w:tcPr>
          <w:p>
            <w:pPr>
              <w:pStyle w:val="TableContents"/>
              <w:bidi w:val="0"/>
              <w:spacing w:before="0" w:after="283"/>
              <w:jc w:val="left"/>
              <w:rPr>
                <w:sz w:val="4"/>
                <w:szCs w:val="4"/>
              </w:rPr>
            </w:pPr>
            <w:r>
              <w:rPr>
                <w:sz w:val="4"/>
                <w:szCs w:val="4"/>
              </w:rPr>
            </w:r>
          </w:p>
        </w:tc>
        <w:tc>
          <w:tcPr>
            <w:tcW w:w="1229"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c>
          <w:tcPr>
            <w:tcW w:w="381" w:type="dxa"/>
            <w:gridSpan w:val="3"/>
            <w:tcBorders/>
            <w:vAlign w:val="center"/>
          </w:tcPr>
          <w:p>
            <w:pPr>
              <w:pStyle w:val="TableContents"/>
              <w:bidi w:val="0"/>
              <w:spacing w:before="0" w:after="283"/>
              <w:jc w:val="left"/>
              <w:rPr>
                <w:sz w:val="4"/>
                <w:szCs w:val="4"/>
              </w:rPr>
            </w:pPr>
            <w:r>
              <w:rPr>
                <w:sz w:val="4"/>
                <w:szCs w:val="4"/>
              </w:rPr>
            </w:r>
          </w:p>
        </w:tc>
        <w:tc>
          <w:tcPr>
            <w:tcW w:w="1337" w:type="dxa"/>
            <w:gridSpan w:val="3"/>
            <w:tcBorders/>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Other </w:t>
            </w:r>
            <w:r>
              <w:rPr>
                <w:rFonts w:ascii="Lato;sans-serif" w:hAnsi="Lato;sans-serif"/>
                <w:b w:val="false"/>
                <w:color w:val="000000"/>
                <w:sz w:val="12"/>
              </w:rPr>
              <w:t>(2)</w:t>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2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Adjusted FFO available to common stock and unit holders</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91,832 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72,330 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137,883 </w:t>
            </w:r>
          </w:p>
        </w:tc>
        <w:tc>
          <w:tcPr>
            <w:tcW w:w="12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111,846 </w:t>
            </w:r>
          </w:p>
        </w:tc>
        <w:tc>
          <w:tcPr>
            <w:tcW w:w="16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 xml:space="preserve">Adjusted FFO available to common stock and unit holders, per diluted share </w:t>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0.44 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87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0.35 </w:t>
            </w:r>
          </w:p>
        </w:tc>
        <w:tc>
          <w:tcPr>
            <w:tcW w:w="11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09"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0.67 </w:t>
            </w:r>
          </w:p>
        </w:tc>
        <w:tc>
          <w:tcPr>
            <w:tcW w:w="127"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0.53 </w:t>
            </w:r>
          </w:p>
        </w:tc>
        <w:tc>
          <w:tcPr>
            <w:tcW w:w="165"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Diluted weighted average shares and units</w:t>
            </w:r>
          </w:p>
        </w:tc>
        <w:tc>
          <w:tcPr>
            <w:tcW w:w="11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206,726 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208,943 </w:t>
            </w:r>
          </w:p>
        </w:tc>
        <w:tc>
          <w:tcPr>
            <w:tcW w:w="11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4"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206,700 </w:t>
            </w:r>
          </w:p>
        </w:tc>
        <w:tc>
          <w:tcPr>
            <w:tcW w:w="127"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210,178 </w:t>
            </w:r>
          </w:p>
        </w:tc>
        <w:tc>
          <w:tcPr>
            <w:tcW w:w="165"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31" w:before="100" w:after="60"/>
        <w:ind w:left="0" w:right="0" w:hanging="180"/>
        <w:jc w:val="left"/>
        <w:rPr/>
      </w:pPr>
      <w:r>
        <w:rPr>
          <w:rFonts w:ascii="Lato;sans-serif" w:hAnsi="Lato;sans-serif"/>
          <w:b w:val="false"/>
          <w:color w:val="000000"/>
          <w:sz w:val="10"/>
        </w:rPr>
        <w:t xml:space="preserve">(1) </w:t>
      </w:r>
      <w:r>
        <w:rPr>
          <w:rFonts w:ascii="Lato;sans-serif" w:hAnsi="Lato;sans-serif"/>
          <w:b w:val="false"/>
          <w:color w:val="000000"/>
          <w:sz w:val="16"/>
        </w:rPr>
        <w:t>For each of the three months ended June 30, 2026 and 2025, amounts include less than $0.1 million of non-cash income related to our deferred compensation plan. For the six months ended June 30, 2026 and 2025, amounts include less than $0.1 million and $0.7 million, respectively, of non-cash income related to our deferred compensation plan.</w:t>
      </w:r>
    </w:p>
    <w:p>
      <w:pPr>
        <w:pStyle w:val="TextBody"/>
        <w:bidi w:val="0"/>
        <w:spacing w:lineRule="auto" w:line="331" w:before="100" w:after="60"/>
        <w:ind w:left="0" w:right="0" w:hanging="180"/>
        <w:jc w:val="left"/>
        <w:rPr/>
      </w:pPr>
      <w:r>
        <w:rPr>
          <w:rFonts w:ascii="Lato;sans-serif" w:hAnsi="Lato;sans-serif"/>
          <w:b w:val="false"/>
          <w:color w:val="000000"/>
          <w:sz w:val="10"/>
        </w:rPr>
        <w:t xml:space="preserve">(2) </w:t>
      </w:r>
      <w:r>
        <w:rPr>
          <w:rFonts w:ascii="Lato;sans-serif" w:hAnsi="Lato;sans-serif"/>
          <w:b w:val="false"/>
          <w:color w:val="000000"/>
          <w:sz w:val="16"/>
        </w:rPr>
        <w:t>Amount reflects the reversal of a previously recognized accrual related to a loss contingency.</w:t>
      </w:r>
    </w:p>
    <w:tbl>
      <w:tblPr>
        <w:tblW w:w="10205" w:type="dxa"/>
        <w:jc w:val="left"/>
        <w:tblInd w:w="0" w:type="dxa"/>
        <w:tblLayout w:type="fixed"/>
        <w:tblCellMar>
          <w:top w:w="28" w:type="dxa"/>
          <w:left w:w="28" w:type="dxa"/>
          <w:bottom w:w="28" w:type="dxa"/>
          <w:right w:w="28" w:type="dxa"/>
        </w:tblCellMar>
      </w:tblPr>
      <w:tblGrid>
        <w:gridCol w:w="2350"/>
        <w:gridCol w:w="2032"/>
        <w:gridCol w:w="2025"/>
        <w:gridCol w:w="226"/>
        <w:gridCol w:w="946"/>
        <w:gridCol w:w="109"/>
        <w:gridCol w:w="109"/>
        <w:gridCol w:w="109"/>
        <w:gridCol w:w="109"/>
        <w:gridCol w:w="226"/>
        <w:gridCol w:w="946"/>
        <w:gridCol w:w="109"/>
        <w:gridCol w:w="109"/>
        <w:gridCol w:w="109"/>
        <w:gridCol w:w="109"/>
        <w:gridCol w:w="582"/>
      </w:tblGrid>
      <w:tr>
        <w:trPr/>
        <w:tc>
          <w:tcPr>
            <w:tcW w:w="2350" w:type="dxa"/>
            <w:tcBorders/>
            <w:vAlign w:val="center"/>
          </w:tcPr>
          <w:p>
            <w:pPr>
              <w:pStyle w:val="TableContents"/>
              <w:bidi w:val="0"/>
              <w:spacing w:before="0" w:after="283"/>
              <w:jc w:val="left"/>
              <w:rPr>
                <w:sz w:val="4"/>
                <w:szCs w:val="4"/>
              </w:rPr>
            </w:pPr>
            <w:r>
              <w:rPr>
                <w:sz w:val="4"/>
                <w:szCs w:val="4"/>
              </w:rPr>
            </w:r>
          </w:p>
        </w:tc>
        <w:tc>
          <w:tcPr>
            <w:tcW w:w="2032" w:type="dxa"/>
            <w:tcBorders/>
            <w:vAlign w:val="center"/>
          </w:tcPr>
          <w:p>
            <w:pPr>
              <w:pStyle w:val="TableContents"/>
              <w:bidi w:val="0"/>
              <w:spacing w:before="0" w:after="283"/>
              <w:jc w:val="left"/>
              <w:rPr>
                <w:sz w:val="4"/>
                <w:szCs w:val="4"/>
              </w:rPr>
            </w:pPr>
            <w:r>
              <w:rPr>
                <w:sz w:val="4"/>
                <w:szCs w:val="4"/>
              </w:rPr>
            </w:r>
          </w:p>
        </w:tc>
        <w:tc>
          <w:tcPr>
            <w:tcW w:w="2025"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8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Full Year 2026 Guidance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91" w:type="dxa"/>
            <w:gridSpan w:val="2"/>
            <w:tcBorders/>
          </w:tcPr>
          <w:p>
            <w:pPr>
              <w:pStyle w:val="TableContents"/>
              <w:bidi w:val="0"/>
              <w:spacing w:before="0" w:after="283"/>
              <w:jc w:val="left"/>
              <w:rPr>
                <w:sz w:val="4"/>
                <w:szCs w:val="4"/>
              </w:rPr>
            </w:pPr>
            <w:r>
              <w:rPr>
                <w:sz w:val="4"/>
                <w:szCs w:val="4"/>
              </w:rPr>
            </w:r>
          </w:p>
        </w:tc>
      </w:tr>
      <w:tr>
        <w:trPr/>
        <w:tc>
          <w:tcPr>
            <w:tcW w:w="64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Low End</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High End</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ind w:left="0" w:right="0" w:firstLine="450"/>
              <w:jc w:val="left"/>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 xml:space="preserve">Net income </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152,149 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163,149 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Real estate related depreciation and amortization</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110,500 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Gain on sale of hotel property, net</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(31,591)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FFO available to common stock and unit holders</w:t>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232,058 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242,058 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Non-cash lease expense and other amortization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Share-based compensation expense</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8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Other </w:t>
            </w:r>
            <w:r>
              <w:rPr>
                <w:rFonts w:ascii="Lato;sans-serif" w:hAnsi="Lato;sans-serif"/>
                <w:b w:val="false"/>
                <w:color w:val="000000"/>
                <w:sz w:val="12"/>
              </w:rPr>
              <w:t>(1)</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(1,158)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Adjusted FFO available to common stock and unit holders</w:t>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245,500 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255,500 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Adjusted FFO available to common stock and unit holders, per diluted share</w:t>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1.18 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doub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1.23 </w:t>
            </w:r>
          </w:p>
        </w:tc>
        <w:tc>
          <w:tcPr>
            <w:tcW w:w="109" w:type="dxa"/>
            <w:tcBorders>
              <w:top w:val="doub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r>
        <w:trPr/>
        <w:tc>
          <w:tcPr>
            <w:tcW w:w="640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Diluted weighted average shares and units</w:t>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207,500 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207,500 </w:t>
            </w:r>
          </w:p>
        </w:tc>
        <w:tc>
          <w:tcPr>
            <w:tcW w:w="109" w:type="dxa"/>
            <w:tcBorders>
              <w:top w:val="doub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00" w:after="60"/>
        <w:ind w:left="0" w:right="0" w:hanging="180"/>
        <w:jc w:val="left"/>
        <w:rPr/>
      </w:pPr>
      <w:r>
        <w:rPr>
          <w:rFonts w:ascii="Lato;sans-serif" w:hAnsi="Lato;sans-serif"/>
          <w:b w:val="false"/>
          <w:color w:val="000000"/>
          <w:sz w:val="10"/>
        </w:rPr>
        <w:t xml:space="preserve">(1) </w:t>
      </w:r>
      <w:r>
        <w:rPr>
          <w:rFonts w:ascii="Lato;sans-serif" w:hAnsi="Lato;sans-serif"/>
          <w:b w:val="false"/>
          <w:color w:val="000000"/>
          <w:sz w:val="16"/>
        </w:rPr>
        <w:t>Amount reflects the reversal of a previously recognized accrual related to a loss contingency.</w:t>
      </w:r>
      <w:r>
        <w:rPr>
          <w:color w:val="000000"/>
        </w:rPr>
        <w:t xml:space="preserve"> </w:t>
      </w:r>
    </w:p>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450215"/>
                <wp:effectExtent l="0" t="0" r="0" b="0"/>
                <wp:wrapNone/>
                <wp:docPr id="15" name="Frame14"/>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11</w:t>
                      </w:r>
                    </w:p>
                  </w:txbxContent>
                </v:textbox>
                <w10:wrap type="none"/>
              </v:rect>
            </w:pict>
          </mc:Fallback>
        </mc:AlternateContent>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Reconciliation of Comparable Operating Results</w:t>
      </w:r>
    </w:p>
    <w:p>
      <w:pPr>
        <w:pStyle w:val="TextBody"/>
        <w:bidi w:val="0"/>
        <w:spacing w:before="0" w:after="0"/>
        <w:ind w:left="0" w:right="0" w:firstLine="450"/>
        <w:jc w:val="both"/>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 xml:space="preserve">The following presents the revenues, Hotel Adjusted EBITDA and Hotel Adjusted EBITDA Margin together with comparable prior year results (in thousands): </w:t>
      </w:r>
    </w:p>
    <w:tbl>
      <w:tblPr>
        <w:tblW w:w="10205" w:type="dxa"/>
        <w:jc w:val="left"/>
        <w:tblInd w:w="0" w:type="dxa"/>
        <w:tblLayout w:type="fixed"/>
        <w:tblCellMar>
          <w:top w:w="28" w:type="dxa"/>
          <w:left w:w="28" w:type="dxa"/>
          <w:bottom w:w="28" w:type="dxa"/>
          <w:right w:w="28" w:type="dxa"/>
        </w:tblCellMar>
      </w:tblPr>
      <w:tblGrid>
        <w:gridCol w:w="1287"/>
        <w:gridCol w:w="1058"/>
        <w:gridCol w:w="1061"/>
        <w:gridCol w:w="226"/>
        <w:gridCol w:w="946"/>
        <w:gridCol w:w="271"/>
        <w:gridCol w:w="109"/>
        <w:gridCol w:w="109"/>
        <w:gridCol w:w="109"/>
        <w:gridCol w:w="226"/>
        <w:gridCol w:w="946"/>
        <w:gridCol w:w="271"/>
        <w:gridCol w:w="109"/>
        <w:gridCol w:w="109"/>
        <w:gridCol w:w="109"/>
        <w:gridCol w:w="226"/>
        <w:gridCol w:w="946"/>
        <w:gridCol w:w="271"/>
        <w:gridCol w:w="109"/>
        <w:gridCol w:w="109"/>
        <w:gridCol w:w="109"/>
        <w:gridCol w:w="226"/>
        <w:gridCol w:w="946"/>
        <w:gridCol w:w="317"/>
      </w:tblGrid>
      <w:tr>
        <w:trPr/>
        <w:tc>
          <w:tcPr>
            <w:tcW w:w="1287" w:type="dxa"/>
            <w:tcBorders/>
            <w:vAlign w:val="center"/>
          </w:tcPr>
          <w:p>
            <w:pPr>
              <w:pStyle w:val="TableContents"/>
              <w:bidi w:val="0"/>
              <w:spacing w:before="0" w:after="283"/>
              <w:jc w:val="left"/>
              <w:rPr>
                <w:sz w:val="4"/>
                <w:szCs w:val="4"/>
              </w:rPr>
            </w:pPr>
            <w:r>
              <w:rPr>
                <w:sz w:val="4"/>
                <w:szCs w:val="4"/>
              </w:rPr>
            </w:r>
          </w:p>
        </w:tc>
        <w:tc>
          <w:tcPr>
            <w:tcW w:w="1058" w:type="dxa"/>
            <w:tcBorders/>
            <w:vAlign w:val="center"/>
          </w:tcPr>
          <w:p>
            <w:pPr>
              <w:pStyle w:val="TableContents"/>
              <w:bidi w:val="0"/>
              <w:spacing w:before="0" w:after="283"/>
              <w:jc w:val="left"/>
              <w:rPr>
                <w:sz w:val="4"/>
                <w:szCs w:val="4"/>
              </w:rPr>
            </w:pPr>
            <w:r>
              <w:rPr>
                <w:sz w:val="4"/>
                <w:szCs w:val="4"/>
              </w:rPr>
            </w:r>
          </w:p>
        </w:tc>
        <w:tc>
          <w:tcPr>
            <w:tcW w:w="106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Three Months Ended June 30,</w:t>
            </w:r>
          </w:p>
        </w:tc>
        <w:tc>
          <w:tcPr>
            <w:tcW w:w="32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 xml:space="preserve">Six Months Ended June 30, </w:t>
            </w:r>
          </w:p>
        </w:tc>
      </w:tr>
      <w:tr>
        <w:trPr/>
        <w:tc>
          <w:tcPr>
            <w:tcW w:w="34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2025</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318,286 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305,720 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576,448 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560,573 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Hotel revenues from sold hotels </w:t>
            </w:r>
            <w:r>
              <w:rPr>
                <w:rFonts w:ascii="Lato;sans-serif" w:hAnsi="Lato;sans-serif"/>
                <w:b w:val="false"/>
                <w:color w:val="000000"/>
                <w:sz w:val="12"/>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(1,722)</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(5,721)</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(5,533)</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(12,481)</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Comparable Revenues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316,564 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299,999 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570,915 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548,092 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Hotel Operating Expenses</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204,563 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210,360 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396,569 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403,549 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Hotel operating expenses from sold hotels </w:t>
            </w:r>
            <w:r>
              <w:rPr>
                <w:rFonts w:ascii="Lato;sans-serif" w:hAnsi="Lato;sans-serif"/>
                <w:b w:val="false"/>
                <w:color w:val="000000"/>
                <w:sz w:val="12"/>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(1,214)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(3,937)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(4,747)</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(10,186)</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Comparable Hotel Operating Expenses</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203,349 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206,423 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391,822 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393,363 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Hotel Adjusted EBITDA</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113,723 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95,360 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179,879 </w:t>
            </w:r>
          </w:p>
        </w:tc>
        <w:tc>
          <w:tcPr>
            <w:tcW w:w="2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157,024 </w:t>
            </w:r>
          </w:p>
        </w:tc>
        <w:tc>
          <w:tcPr>
            <w:tcW w:w="3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9" w:type="dxa"/>
            <w:gridSpan w:val="3"/>
            <w:tcBorders/>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Hotel Adjusted EBITDA from sold hotels </w:t>
            </w:r>
            <w:r>
              <w:rPr>
                <w:rFonts w:ascii="Lato;sans-serif" w:hAnsi="Lato;sans-serif"/>
                <w:b w:val="false"/>
                <w:color w:val="000000"/>
                <w:sz w:val="12"/>
              </w:rPr>
              <w:t>(1)</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(508)</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(1,784)</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(786)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(2,295)</w:t>
            </w:r>
          </w:p>
        </w:tc>
        <w:tc>
          <w:tcPr>
            <w:tcW w:w="3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Comparable Hotel Adjusted EBITDA</w:t>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113,215 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93,576 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179,093 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9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154,729 </w:t>
            </w:r>
          </w:p>
        </w:tc>
        <w:tc>
          <w:tcPr>
            <w:tcW w:w="3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Hotel Adjusted EBITDA Margin</w:t>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35.73 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31.19 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31.20 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28.01 </w:t>
            </w:r>
          </w:p>
        </w:tc>
        <w:tc>
          <w:tcPr>
            <w:tcW w:w="3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r>
        <w:trPr/>
        <w:tc>
          <w:tcPr>
            <w:tcW w:w="34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Hotel Adjusted EBITDA Margin from sold hotels </w:t>
            </w:r>
            <w:r>
              <w:rPr>
                <w:rFonts w:ascii="Lato;sans-serif" w:hAnsi="Lato;sans-serif"/>
                <w:b w:val="false"/>
                <w:color w:val="000000"/>
                <w:sz w:val="12"/>
              </w:rPr>
              <w:t>(1)</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360"/>
              <w:jc w:val="right"/>
              <w:rPr/>
            </w:pPr>
            <w:r>
              <w:rPr>
                <w:color w:val="000000"/>
              </w:rPr>
              <w:t>–</w:t>
            </w:r>
            <w:r>
              <w:rPr>
                <w:rFonts w:ascii="Lato;sans-serif" w:hAnsi="Lato;sans-serif"/>
                <w:b w:val="false"/>
                <w:color w:val="000000"/>
                <w:sz w:val="18"/>
              </w:rPr>
              <w:t>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17 bps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22 bps</w:t>
            </w:r>
          </w:p>
        </w:tc>
      </w:tr>
      <w:tr>
        <w:trPr/>
        <w:tc>
          <w:tcPr>
            <w:tcW w:w="340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8"/>
              </w:rPr>
            </w:pPr>
            <w:r>
              <w:rPr>
                <w:rFonts w:ascii="Lato;sans-serif" w:hAnsi="Lato;sans-serif"/>
                <w:b/>
                <w:color w:val="000000"/>
                <w:sz w:val="18"/>
              </w:rPr>
              <w:t>Comparable Hotel Adjusted EBITDA Margin</w:t>
            </w:r>
          </w:p>
        </w:tc>
        <w:tc>
          <w:tcPr>
            <w:tcW w:w="11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35.76 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31.19 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31.37 </w:t>
            </w:r>
          </w:p>
        </w:tc>
        <w:tc>
          <w:tcPr>
            <w:tcW w:w="2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28.23 </w:t>
            </w:r>
          </w:p>
        </w:tc>
        <w:tc>
          <w:tcPr>
            <w:tcW w:w="3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r>
    </w:tbl>
    <w:p>
      <w:pPr>
        <w:pStyle w:val="TextBody"/>
        <w:bidi w:val="0"/>
        <w:spacing w:lineRule="auto" w:line="288" w:before="80" w:after="60"/>
        <w:ind w:left="0" w:right="0" w:hanging="180"/>
        <w:jc w:val="left"/>
        <w:rPr/>
      </w:pPr>
      <w:r>
        <w:rPr>
          <w:rFonts w:ascii="Lato;sans-serif" w:hAnsi="Lato;sans-serif"/>
          <w:b w:val="false"/>
          <w:color w:val="000000"/>
          <w:sz w:val="10"/>
        </w:rPr>
        <w:t xml:space="preserve">(1) </w:t>
      </w:r>
      <w:r>
        <w:rPr>
          <w:rFonts w:ascii="Lato;sans-serif" w:hAnsi="Lato;sans-serif"/>
          <w:b w:val="false"/>
          <w:color w:val="000000"/>
          <w:sz w:val="16"/>
        </w:rPr>
        <w:t>Amounts represent the operating results for the Courtyard New York Manhattan/Fifth Avenue sold on May 1, 2026 and the Westin Washington D.C. City Center sold on February 19, 2025.</w:t>
      </w:r>
    </w:p>
    <w:p>
      <w:pPr>
        <w:pStyle w:val="TextBody"/>
        <w:bidi w:val="0"/>
        <w:spacing w:before="100" w:after="60"/>
        <w:ind w:left="0" w:right="0" w:hanging="270"/>
        <w:jc w:val="left"/>
        <w:rPr/>
      </w:pPr>
      <w:r>
        <w:rPr/>
      </w:r>
    </w:p>
    <w:p>
      <w:pPr>
        <w:pStyle w:val="TextBody"/>
        <w:bidi w:val="0"/>
        <w:spacing w:lineRule="auto" w:line="288" w:before="0" w:after="0"/>
        <w:jc w:val="left"/>
        <w:rPr>
          <w:rFonts w:ascii="Lato Black;sans-serif" w:hAnsi="Lato Black;sans-serif"/>
          <w:b/>
          <w:color w:val="000000"/>
          <w:sz w:val="20"/>
        </w:rPr>
      </w:pPr>
      <w:r>
        <w:rPr>
          <w:rFonts w:ascii="Lato Black;sans-serif" w:hAnsi="Lato Black;sans-serif"/>
          <w:b/>
          <w:color w:val="000000"/>
          <w:sz w:val="20"/>
        </w:rPr>
        <w:t>Selected Quarterly Comparable Operating Information</w:t>
      </w:r>
    </w:p>
    <w:p>
      <w:pPr>
        <w:pStyle w:val="TextBody"/>
        <w:bidi w:val="0"/>
        <w:spacing w:before="0" w:after="0"/>
        <w:jc w:val="left"/>
        <w:rPr/>
      </w:pPr>
      <w:r>
        <w:rPr/>
      </w:r>
    </w:p>
    <w:p>
      <w:pPr>
        <w:pStyle w:val="TextBody"/>
        <w:bidi w:val="0"/>
        <w:spacing w:lineRule="auto" w:line="288" w:before="0" w:after="0"/>
        <w:ind w:left="0" w:right="0" w:firstLine="360"/>
        <w:jc w:val="left"/>
        <w:rPr>
          <w:rFonts w:ascii="Lato;sans-serif" w:hAnsi="Lato;sans-serif"/>
          <w:b w:val="false"/>
          <w:color w:val="000000"/>
          <w:sz w:val="20"/>
        </w:rPr>
      </w:pPr>
      <w:r>
        <w:rPr>
          <w:rFonts w:ascii="Lato;sans-serif" w:hAnsi="Lato;sans-serif"/>
          <w:b w:val="false"/>
          <w:color w:val="000000"/>
          <w:sz w:val="20"/>
        </w:rPr>
        <w:t xml:space="preserve">The following tables are presented to provide investors with selected quarterly comparable operating information for the Company's current portfolio of 34 hotels with 9,400 rooms. </w:t>
      </w:r>
    </w:p>
    <w:p>
      <w:pPr>
        <w:pStyle w:val="TextBody"/>
        <w:bidi w:val="0"/>
        <w:spacing w:before="0" w:after="0"/>
        <w:ind w:left="0" w:right="0" w:firstLine="360"/>
        <w:jc w:val="left"/>
        <w:rPr/>
      </w:pPr>
      <w:r>
        <w:rPr/>
      </w:r>
    </w:p>
    <w:tbl>
      <w:tblPr>
        <w:tblW w:w="10205" w:type="dxa"/>
        <w:jc w:val="left"/>
        <w:tblInd w:w="0" w:type="dxa"/>
        <w:tblLayout w:type="fixed"/>
        <w:tblCellMar>
          <w:top w:w="28" w:type="dxa"/>
          <w:left w:w="28" w:type="dxa"/>
          <w:bottom w:w="28" w:type="dxa"/>
          <w:right w:w="28" w:type="dxa"/>
        </w:tblCellMar>
      </w:tblPr>
      <w:tblGrid>
        <w:gridCol w:w="713"/>
        <w:gridCol w:w="629"/>
        <w:gridCol w:w="636"/>
        <w:gridCol w:w="239"/>
        <w:gridCol w:w="1003"/>
        <w:gridCol w:w="287"/>
        <w:gridCol w:w="239"/>
        <w:gridCol w:w="1003"/>
        <w:gridCol w:w="287"/>
        <w:gridCol w:w="239"/>
        <w:gridCol w:w="1003"/>
        <w:gridCol w:w="287"/>
        <w:gridCol w:w="239"/>
        <w:gridCol w:w="1003"/>
        <w:gridCol w:w="287"/>
        <w:gridCol w:w="226"/>
        <w:gridCol w:w="1126"/>
        <w:gridCol w:w="271"/>
        <w:gridCol w:w="109"/>
        <w:gridCol w:w="109"/>
        <w:gridCol w:w="109"/>
        <w:gridCol w:w="161"/>
      </w:tblGrid>
      <w:tr>
        <w:trPr/>
        <w:tc>
          <w:tcPr>
            <w:tcW w:w="713" w:type="dxa"/>
            <w:tcBorders/>
            <w:vAlign w:val="center"/>
          </w:tcPr>
          <w:p>
            <w:pPr>
              <w:pStyle w:val="TableContents"/>
              <w:bidi w:val="0"/>
              <w:spacing w:before="0" w:after="283"/>
              <w:jc w:val="left"/>
              <w:rPr>
                <w:sz w:val="4"/>
                <w:szCs w:val="4"/>
              </w:rPr>
            </w:pPr>
            <w:r>
              <w:rPr>
                <w:sz w:val="4"/>
                <w:szCs w:val="4"/>
              </w:rPr>
            </w:r>
          </w:p>
        </w:tc>
        <w:tc>
          <w:tcPr>
            <w:tcW w:w="629" w:type="dxa"/>
            <w:tcBorders/>
            <w:vAlign w:val="center"/>
          </w:tcPr>
          <w:p>
            <w:pPr>
              <w:pStyle w:val="TableContents"/>
              <w:bidi w:val="0"/>
              <w:spacing w:before="0" w:after="283"/>
              <w:jc w:val="left"/>
              <w:rPr>
                <w:sz w:val="4"/>
                <w:szCs w:val="4"/>
              </w:rPr>
            </w:pPr>
            <w:r>
              <w:rPr>
                <w:sz w:val="4"/>
                <w:szCs w:val="4"/>
              </w:rPr>
            </w:r>
          </w:p>
        </w:tc>
        <w:tc>
          <w:tcPr>
            <w:tcW w:w="636"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Quarter 1, 2025</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Quarter 2, 2025</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Quarter 3, 2025</w:t>
            </w:r>
          </w:p>
        </w:tc>
        <w:tc>
          <w:tcPr>
            <w:tcW w:w="1529"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Quarter 4, 2025</w:t>
            </w:r>
          </w:p>
        </w:tc>
        <w:tc>
          <w:tcPr>
            <w:tcW w:w="1623"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Full Year 2025</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ADR</w:t>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278.85 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294.88 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279.91 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292.20 </w:t>
            </w:r>
          </w:p>
        </w:tc>
        <w:tc>
          <w:tcPr>
            <w:tcW w:w="28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286.57 </w:t>
            </w:r>
          </w:p>
        </w:tc>
        <w:tc>
          <w:tcPr>
            <w:tcW w:w="271"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Occupancy</w:t>
            </w:r>
          </w:p>
        </w:tc>
        <w:tc>
          <w:tcPr>
            <w:tcW w:w="12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66.6 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2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76.3 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2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75.8 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24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67.6 </w:t>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352"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71.6 </w:t>
            </w:r>
          </w:p>
        </w:tc>
        <w:tc>
          <w:tcPr>
            <w:tcW w:w="271"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RevPAR</w:t>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185.70 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225.03 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212.06 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197.57 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205.14 </w:t>
            </w:r>
          </w:p>
        </w:tc>
        <w:tc>
          <w:tcPr>
            <w:tcW w:w="27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RevPAR</w:t>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293.07 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350.49 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323.24 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308.81 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318.95 </w:t>
            </w:r>
          </w:p>
        </w:tc>
        <w:tc>
          <w:tcPr>
            <w:tcW w:w="27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Revenues (in thousands)</w:t>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248,093 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299,999 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279,713 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267,228 </w:t>
            </w:r>
          </w:p>
        </w:tc>
        <w:tc>
          <w:tcPr>
            <w:tcW w:w="28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1,095,033 </w:t>
            </w:r>
          </w:p>
        </w:tc>
        <w:tc>
          <w:tcPr>
            <w:tcW w:w="271"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Hotel Adjusted EBITDA (in thousands)</w:t>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61,153 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93,576 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81,534 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00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73,829 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310,092 </w:t>
            </w:r>
          </w:p>
        </w:tc>
        <w:tc>
          <w:tcPr>
            <w:tcW w:w="271"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Hotel Adjusted EBITDA Margin</w:t>
            </w:r>
          </w:p>
        </w:tc>
        <w:tc>
          <w:tcPr>
            <w:tcW w:w="12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24.65 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2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31.19 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2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29.15 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24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27.63 </w:t>
            </w:r>
          </w:p>
        </w:tc>
        <w:tc>
          <w:tcPr>
            <w:tcW w:w="2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352"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28.32 </w:t>
            </w:r>
          </w:p>
        </w:tc>
        <w:tc>
          <w:tcPr>
            <w:tcW w:w="271"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978"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Available Rooms</w:t>
            </w:r>
          </w:p>
        </w:tc>
        <w:tc>
          <w:tcPr>
            <w:tcW w:w="1242"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846,540 </w:t>
            </w:r>
          </w:p>
        </w:tc>
        <w:tc>
          <w:tcPr>
            <w:tcW w:w="2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855,946 </w:t>
            </w:r>
          </w:p>
        </w:tc>
        <w:tc>
          <w:tcPr>
            <w:tcW w:w="2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865,352 </w:t>
            </w:r>
          </w:p>
        </w:tc>
        <w:tc>
          <w:tcPr>
            <w:tcW w:w="2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42"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865,352 </w:t>
            </w:r>
          </w:p>
        </w:tc>
        <w:tc>
          <w:tcPr>
            <w:tcW w:w="287"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3,433,190 </w:t>
            </w:r>
          </w:p>
        </w:tc>
        <w:tc>
          <w:tcPr>
            <w:tcW w:w="271"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tbl>
      <w:tblPr>
        <w:tblW w:w="7408" w:type="dxa"/>
        <w:jc w:val="left"/>
        <w:tblInd w:w="0" w:type="dxa"/>
        <w:tblLayout w:type="fixed"/>
        <w:tblCellMar>
          <w:top w:w="28" w:type="dxa"/>
          <w:left w:w="28" w:type="dxa"/>
          <w:bottom w:w="28" w:type="dxa"/>
          <w:right w:w="28" w:type="dxa"/>
        </w:tblCellMar>
      </w:tblPr>
      <w:tblGrid>
        <w:gridCol w:w="1276"/>
        <w:gridCol w:w="1125"/>
        <w:gridCol w:w="1138"/>
        <w:gridCol w:w="265"/>
        <w:gridCol w:w="1111"/>
        <w:gridCol w:w="318"/>
        <w:gridCol w:w="265"/>
        <w:gridCol w:w="1111"/>
        <w:gridCol w:w="318"/>
        <w:gridCol w:w="109"/>
        <w:gridCol w:w="109"/>
        <w:gridCol w:w="109"/>
        <w:gridCol w:w="154"/>
      </w:tblGrid>
      <w:tr>
        <w:trPr/>
        <w:tc>
          <w:tcPr>
            <w:tcW w:w="1276"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3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265" w:type="dxa"/>
            <w:tcBorders/>
            <w:vAlign w:val="center"/>
          </w:tcPr>
          <w:p>
            <w:pPr>
              <w:pStyle w:val="TableContents"/>
              <w:bidi w:val="0"/>
              <w:spacing w:before="0" w:after="283"/>
              <w:jc w:val="left"/>
              <w:rPr>
                <w:sz w:val="4"/>
                <w:szCs w:val="4"/>
              </w:rPr>
            </w:pPr>
            <w:r>
              <w:rPr>
                <w:sz w:val="4"/>
                <w:szCs w:val="4"/>
              </w:rPr>
            </w:r>
          </w:p>
        </w:tc>
        <w:tc>
          <w:tcPr>
            <w:tcW w:w="1111"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69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Quarter 1, 2026</w:t>
            </w:r>
          </w:p>
        </w:tc>
        <w:tc>
          <w:tcPr>
            <w:tcW w:w="1694"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Lato;sans-serif" w:hAnsi="Lato;sans-serif"/>
                <w:b/>
                <w:color w:val="000000"/>
                <w:sz w:val="18"/>
              </w:rPr>
            </w:pPr>
            <w:r>
              <w:rPr>
                <w:rFonts w:ascii="Lato;sans-serif" w:hAnsi="Lato;sans-serif"/>
                <w:b/>
                <w:color w:val="000000"/>
                <w:sz w:val="18"/>
              </w:rPr>
              <w:t>Quarter 2, 2026</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ADR</w:t>
            </w:r>
          </w:p>
        </w:tc>
        <w:tc>
          <w:tcPr>
            <w:tcW w:w="26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286.02 </w:t>
            </w:r>
          </w:p>
        </w:tc>
        <w:tc>
          <w:tcPr>
            <w:tcW w:w="3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top w:val="single" w:sz="8" w:space="0" w:color="000000"/>
              <w:left w:val="single" w:sz="8" w:space="0" w:color="000000"/>
            </w:tcBorders>
            <w:shd w:fill="CCEEFF" w:val="clear"/>
            <w:tcMar>
              <w:top w:w="3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308.50 </w:t>
            </w:r>
          </w:p>
        </w:tc>
        <w:tc>
          <w:tcPr>
            <w:tcW w:w="318" w:type="dxa"/>
            <w:tcBorders>
              <w:top w:val="single" w:sz="8" w:space="0" w:color="000000"/>
              <w:right w:val="single" w:sz="8" w:space="0" w:color="000000"/>
            </w:tcBorders>
            <w:shd w:fill="CCEEFF" w:val="clear"/>
            <w:tcMar>
              <w:top w:w="3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Occupancy</w:t>
            </w:r>
          </w:p>
        </w:tc>
        <w:tc>
          <w:tcPr>
            <w:tcW w:w="137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66.3 </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376"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78.1 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RevPAR</w:t>
            </w:r>
          </w:p>
        </w:tc>
        <w:tc>
          <w:tcPr>
            <w:tcW w:w="26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189.54 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240.79 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RevPAR</w:t>
            </w:r>
          </w:p>
        </w:tc>
        <w:tc>
          <w:tcPr>
            <w:tcW w:w="26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300.46 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370.06 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Revenues (in thousands)</w:t>
            </w:r>
          </w:p>
        </w:tc>
        <w:tc>
          <w:tcPr>
            <w:tcW w:w="26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254,351 </w:t>
            </w:r>
          </w:p>
        </w:tc>
        <w:tc>
          <w:tcPr>
            <w:tcW w:w="3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316,564 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Hotel Adjusted EBITDA (in thousands)</w:t>
            </w:r>
          </w:p>
        </w:tc>
        <w:tc>
          <w:tcPr>
            <w:tcW w:w="26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65,878 </w:t>
            </w:r>
          </w:p>
        </w:tc>
        <w:tc>
          <w:tcPr>
            <w:tcW w:w="3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5" w:type="dxa"/>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113,215 </w:t>
            </w:r>
          </w:p>
        </w:tc>
        <w:tc>
          <w:tcPr>
            <w:tcW w:w="318" w:type="dxa"/>
            <w:tcBorders>
              <w:right w:val="single" w:sz="8" w:space="0" w:color="000000"/>
            </w:tcBorders>
            <w:shd w:fill="FFFFFF" w:val="clear"/>
            <w:tcMar>
              <w:top w:w="0" w:type="dxa"/>
              <w:left w:w="0" w:type="dxa"/>
              <w:bottom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Hotel Adjusted EBITDA Margin</w:t>
            </w:r>
          </w:p>
        </w:tc>
        <w:tc>
          <w:tcPr>
            <w:tcW w:w="137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25.90 </w:t>
            </w:r>
          </w:p>
        </w:tc>
        <w:tc>
          <w:tcPr>
            <w:tcW w:w="3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376" w:type="dxa"/>
            <w:gridSpan w:val="2"/>
            <w:tcBorders>
              <w:left w:val="single" w:sz="8" w:space="0" w:color="000000"/>
            </w:tcBorders>
            <w:shd w:fill="CCEEFF" w:val="clear"/>
            <w:tcMar>
              <w:top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35.76 </w:t>
            </w:r>
          </w:p>
        </w:tc>
        <w:tc>
          <w:tcPr>
            <w:tcW w:w="318" w:type="dxa"/>
            <w:tcBorders>
              <w:right w:val="single" w:sz="8" w:space="0" w:color="000000"/>
            </w:tcBorders>
            <w:shd w:fill="CCEEFF" w:val="clear"/>
            <w:tcMar>
              <w:top w:w="0" w:type="dxa"/>
              <w:left w:w="0" w:type="dxa"/>
              <w:bottom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539" w:type="dxa"/>
            <w:gridSpan w:val="3"/>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Available Rooms</w:t>
            </w:r>
          </w:p>
        </w:tc>
        <w:tc>
          <w:tcPr>
            <w:tcW w:w="1376"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846,540 </w:t>
            </w:r>
          </w:p>
        </w:tc>
        <w:tc>
          <w:tcPr>
            <w:tcW w:w="318" w:type="dxa"/>
            <w:tcBorders>
              <w:bottom w:val="single" w:sz="8" w:space="0" w:color="000000"/>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76" w:type="dxa"/>
            <w:gridSpan w:val="2"/>
            <w:tcBorders>
              <w:left w:val="single" w:sz="8" w:space="0" w:color="000000"/>
              <w:bottom w:val="single" w:sz="8" w:space="0" w:color="000000"/>
            </w:tcBorders>
            <w:shd w:fill="FFFFFF" w:val="clear"/>
            <w:tcMar>
              <w:top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855,430 </w:t>
            </w:r>
          </w:p>
        </w:tc>
        <w:tc>
          <w:tcPr>
            <w:tcW w:w="318" w:type="dxa"/>
            <w:tcBorders>
              <w:bottom w:val="single" w:sz="8" w:space="0" w:color="000000"/>
              <w:right w:val="single" w:sz="8" w:space="0" w:color="000000"/>
            </w:tcBorders>
            <w:shd w:fill="FFFFFF" w:val="clear"/>
            <w:tcMar>
              <w:top w:w="0" w:type="dxa"/>
              <w:left w:w="0" w:type="dxa"/>
              <w:bottom w:w="3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450215"/>
                <wp:effectExtent l="0" t="0" r="0" b="0"/>
                <wp:wrapNone/>
                <wp:docPr id="16" name="Frame15"/>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12</w:t>
                      </w:r>
                    </w:p>
                  </w:txbxContent>
                </v:textbox>
                <w10:wrap type="none"/>
              </v:rect>
            </w:pict>
          </mc:Fallback>
        </mc:AlternateContent>
      </w:r>
    </w:p>
    <w:tbl>
      <w:tblPr>
        <w:tblW w:w="10205" w:type="dxa"/>
        <w:jc w:val="left"/>
        <w:tblInd w:w="0" w:type="dxa"/>
        <w:tblLayout w:type="fixed"/>
        <w:tblCellMar>
          <w:top w:w="28" w:type="dxa"/>
          <w:left w:w="28" w:type="dxa"/>
          <w:bottom w:w="28" w:type="dxa"/>
          <w:right w:w="28" w:type="dxa"/>
        </w:tblCellMar>
      </w:tblPr>
      <w:tblGrid>
        <w:gridCol w:w="2389"/>
        <w:gridCol w:w="2053"/>
        <w:gridCol w:w="2060"/>
        <w:gridCol w:w="219"/>
        <w:gridCol w:w="219"/>
        <w:gridCol w:w="219"/>
        <w:gridCol w:w="456"/>
        <w:gridCol w:w="2275"/>
        <w:gridCol w:w="315"/>
      </w:tblGrid>
      <w:tr>
        <w:trPr/>
        <w:tc>
          <w:tcPr>
            <w:tcW w:w="2389" w:type="dxa"/>
            <w:tcBorders/>
            <w:vAlign w:val="center"/>
          </w:tcPr>
          <w:p>
            <w:pPr>
              <w:pStyle w:val="TableContents"/>
              <w:bidi w:val="0"/>
              <w:spacing w:before="0" w:after="283"/>
              <w:jc w:val="left"/>
              <w:rPr>
                <w:sz w:val="4"/>
                <w:szCs w:val="4"/>
              </w:rPr>
            </w:pPr>
            <w:r>
              <w:rPr>
                <w:sz w:val="4"/>
                <w:szCs w:val="4"/>
              </w:rPr>
            </w:r>
          </w:p>
        </w:tc>
        <w:tc>
          <w:tcPr>
            <w:tcW w:w="2053" w:type="dxa"/>
            <w:tcBorders/>
            <w:vAlign w:val="center"/>
          </w:tcPr>
          <w:p>
            <w:pPr>
              <w:pStyle w:val="TableContents"/>
              <w:bidi w:val="0"/>
              <w:spacing w:before="0" w:after="283"/>
              <w:jc w:val="left"/>
              <w:rPr>
                <w:sz w:val="4"/>
                <w:szCs w:val="4"/>
              </w:rPr>
            </w:pPr>
            <w:r>
              <w:rPr>
                <w:sz w:val="4"/>
                <w:szCs w:val="4"/>
              </w:rPr>
            </w:r>
          </w:p>
        </w:tc>
        <w:tc>
          <w:tcPr>
            <w:tcW w:w="2060"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456" w:type="dxa"/>
            <w:tcBorders/>
            <w:vAlign w:val="center"/>
          </w:tcPr>
          <w:p>
            <w:pPr>
              <w:pStyle w:val="TableContents"/>
              <w:bidi w:val="0"/>
              <w:spacing w:before="0" w:after="283"/>
              <w:jc w:val="left"/>
              <w:rPr>
                <w:sz w:val="4"/>
                <w:szCs w:val="4"/>
              </w:rPr>
            </w:pPr>
            <w:r>
              <w:rPr>
                <w:sz w:val="4"/>
                <w:szCs w:val="4"/>
              </w:rPr>
            </w:r>
          </w:p>
        </w:tc>
        <w:tc>
          <w:tcPr>
            <w:tcW w:w="2275"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20"/>
              </w:rPr>
            </w:pPr>
            <w:r>
              <w:rPr>
                <w:rFonts w:ascii="Lato Black;sans-serif" w:hAnsi="Lato Black;sans-serif"/>
                <w:b/>
                <w:color w:val="000000"/>
                <w:sz w:val="20"/>
              </w:rPr>
              <w:t>Market Capitalization as of June 30, 2026</w:t>
            </w:r>
          </w:p>
        </w:tc>
      </w:tr>
      <w:tr>
        <w:trPr/>
        <w:tc>
          <w:tcPr>
            <w:tcW w:w="10205" w:type="dxa"/>
            <w:gridSpan w:val="9"/>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20"/>
              </w:rPr>
            </w:pPr>
            <w:r>
              <w:rPr>
                <w:rFonts w:ascii="Lato Black;sans-serif" w:hAnsi="Lato Black;sans-serif"/>
                <w:b/>
                <w:color w:val="000000"/>
                <w:sz w:val="20"/>
              </w:rPr>
              <w:t>(in thousands)</w:t>
            </w:r>
          </w:p>
        </w:tc>
      </w:tr>
      <w:tr>
        <w:trPr/>
        <w:tc>
          <w:tcPr>
            <w:tcW w:w="6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Enterprise Value</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Common equity capitalization (at June 30, 2026 closing price of $12.18/share)</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22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2,516,999 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Consolidated debt (face amount)</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1,100,000 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Cash and cash equivalents</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(105,980)</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enterprise value</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22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3,511,019 </w:t>
            </w:r>
          </w:p>
        </w:tc>
        <w:tc>
          <w:tcPr>
            <w:tcW w:w="3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Share Reconciliation</w:t>
            </w:r>
          </w:p>
        </w:tc>
        <w:tc>
          <w:tcPr>
            <w:tcW w:w="6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Common shares outstanding</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204,506 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Operating partnership units</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690 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Unvested restricted stock held by management and employees</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889 </w:t>
            </w:r>
          </w:p>
        </w:tc>
        <w:tc>
          <w:tcPr>
            <w:tcW w:w="3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Shares vested under deferred compensation plan</w:t>
            </w:r>
          </w:p>
        </w:tc>
        <w:tc>
          <w:tcPr>
            <w:tcW w:w="6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565 </w:t>
            </w:r>
          </w:p>
        </w:tc>
        <w:tc>
          <w:tcPr>
            <w:tcW w:w="3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Combined shares and units</w:t>
            </w:r>
          </w:p>
        </w:tc>
        <w:tc>
          <w:tcPr>
            <w:tcW w:w="6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6" w:type="dxa"/>
            <w:gridSpan w:val="3"/>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206,650</w:t>
            </w:r>
          </w:p>
        </w:tc>
      </w:tr>
    </w:tbl>
    <w:p>
      <w:pPr>
        <w:pStyle w:val="TextBody"/>
        <w:bidi w:val="0"/>
        <w:spacing w:before="0" w:after="0"/>
        <w:jc w:val="left"/>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469"/>
        <w:gridCol w:w="1109"/>
        <w:gridCol w:w="1125"/>
        <w:gridCol w:w="109"/>
        <w:gridCol w:w="109"/>
        <w:gridCol w:w="109"/>
        <w:gridCol w:w="486"/>
        <w:gridCol w:w="486"/>
        <w:gridCol w:w="488"/>
        <w:gridCol w:w="109"/>
        <w:gridCol w:w="109"/>
        <w:gridCol w:w="109"/>
        <w:gridCol w:w="274"/>
        <w:gridCol w:w="274"/>
        <w:gridCol w:w="278"/>
        <w:gridCol w:w="109"/>
        <w:gridCol w:w="109"/>
        <w:gridCol w:w="109"/>
        <w:gridCol w:w="226"/>
        <w:gridCol w:w="1126"/>
        <w:gridCol w:w="109"/>
        <w:gridCol w:w="109"/>
        <w:gridCol w:w="109"/>
        <w:gridCol w:w="109"/>
        <w:gridCol w:w="423"/>
        <w:gridCol w:w="423"/>
        <w:gridCol w:w="601"/>
      </w:tblGrid>
      <w:tr>
        <w:trPr/>
        <w:tc>
          <w:tcPr>
            <w:tcW w:w="146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6"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601" w:type="dxa"/>
            <w:tcBorders/>
            <w:vAlign w:val="center"/>
          </w:tcPr>
          <w:p>
            <w:pPr>
              <w:pStyle w:val="TableContents"/>
              <w:bidi w:val="0"/>
              <w:spacing w:before="0" w:after="283"/>
              <w:jc w:val="left"/>
              <w:rPr>
                <w:sz w:val="4"/>
                <w:szCs w:val="4"/>
              </w:rPr>
            </w:pPr>
            <w:r>
              <w:rPr>
                <w:sz w:val="4"/>
                <w:szCs w:val="4"/>
              </w:rPr>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20"/>
              </w:rPr>
            </w:pPr>
            <w:r>
              <w:rPr>
                <w:rFonts w:ascii="Lato Black;sans-serif" w:hAnsi="Lato Black;sans-serif"/>
                <w:b/>
                <w:color w:val="000000"/>
                <w:sz w:val="20"/>
              </w:rPr>
              <w:t>Debt Summary as of June 30, 2026</w:t>
            </w:r>
          </w:p>
        </w:tc>
      </w:tr>
      <w:tr>
        <w:trPr/>
        <w:tc>
          <w:tcPr>
            <w:tcW w:w="10205" w:type="dxa"/>
            <w:gridSpan w:val="27"/>
            <w:tcBorders/>
            <w:tcMar>
              <w:top w:w="0" w:type="dxa"/>
              <w:left w:w="0" w:type="dxa"/>
              <w:bottom w:w="0" w:type="dxa"/>
              <w:right w:w="0" w:type="dxa"/>
            </w:tcMar>
            <w:vAlign w:val="center"/>
          </w:tcPr>
          <w:p>
            <w:pPr>
              <w:pStyle w:val="TableContents"/>
              <w:bidi w:val="0"/>
              <w:spacing w:lineRule="auto" w:line="288" w:before="0" w:after="283"/>
              <w:jc w:val="center"/>
              <w:rPr>
                <w:rFonts w:ascii="Lato Black;sans-serif" w:hAnsi="Lato Black;sans-serif"/>
                <w:b/>
                <w:color w:val="000000"/>
                <w:sz w:val="20"/>
              </w:rPr>
            </w:pPr>
            <w:r>
              <w:rPr>
                <w:rFonts w:ascii="Lato Black;sans-serif" w:hAnsi="Lato Black;sans-serif"/>
                <w:b/>
                <w:color w:val="000000"/>
                <w:sz w:val="20"/>
              </w:rPr>
              <w:t>(dollars in thousands)</w:t>
            </w:r>
          </w:p>
        </w:tc>
      </w:tr>
      <w:tr>
        <w:trPr/>
        <w:tc>
          <w:tcPr>
            <w:tcW w:w="370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Outstanding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20"/>
              </w:rPr>
            </w:pPr>
            <w:r>
              <w:rPr>
                <w:rFonts w:ascii="Lato;sans-serif" w:hAnsi="Lato;sans-serif"/>
                <w:b/>
                <w:color w:val="000000"/>
                <w:sz w:val="20"/>
              </w:rPr>
              <w:t>Loan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Interest Rate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Term</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Principal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20"/>
              </w:rPr>
            </w:pPr>
            <w:r>
              <w:rPr>
                <w:rFonts w:ascii="Lato;sans-serif" w:hAnsi="Lato;sans-serif"/>
                <w:b/>
                <w:color w:val="000000"/>
                <w:sz w:val="20"/>
              </w:rPr>
              <w:t>Maturity</w:t>
            </w:r>
          </w:p>
        </w:tc>
      </w:tr>
      <w:tr>
        <w:trPr/>
        <w:tc>
          <w:tcPr>
            <w:tcW w:w="3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Unsecured term loan</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8"/>
              </w:rPr>
              <w:t xml:space="preserve">SOFR + 1.35% </w:t>
            </w:r>
            <w:r>
              <w:rPr>
                <w:rFonts w:ascii="Lato;sans-serif" w:hAnsi="Lato;sans-serif"/>
                <w:b w:val="false"/>
                <w:color w:val="000000"/>
                <w:sz w:val="12"/>
              </w:rPr>
              <w:t>(1)</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Variable</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500,000 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8"/>
              </w:rPr>
              <w:t xml:space="preserve">January 2028 </w:t>
            </w:r>
            <w:r>
              <w:rPr>
                <w:rFonts w:ascii="Lato;sans-serif" w:hAnsi="Lato;sans-serif"/>
                <w:b w:val="false"/>
                <w:color w:val="000000"/>
                <w:sz w:val="12"/>
              </w:rPr>
              <w:t>(2)</w:t>
            </w:r>
          </w:p>
        </w:tc>
      </w:tr>
      <w:tr>
        <w:trPr/>
        <w:tc>
          <w:tcPr>
            <w:tcW w:w="3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Unsecured term loan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8"/>
              </w:rPr>
              <w:t xml:space="preserve">SOFR + 1.35% </w:t>
            </w:r>
            <w:r>
              <w:rPr>
                <w:rFonts w:ascii="Lato;sans-serif" w:hAnsi="Lato;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300,000 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8"/>
              </w:rPr>
              <w:t xml:space="preserve">January 2029 </w:t>
            </w:r>
            <w:r>
              <w:rPr>
                <w:rFonts w:ascii="Lato;sans-serif" w:hAnsi="Lato;sans-serif"/>
                <w:b w:val="false"/>
                <w:color w:val="000000"/>
                <w:sz w:val="12"/>
              </w:rPr>
              <w:t>(2)</w:t>
            </w:r>
          </w:p>
        </w:tc>
      </w:tr>
      <w:tr>
        <w:trPr/>
        <w:tc>
          <w:tcPr>
            <w:tcW w:w="3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Unsecured term loan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8"/>
              </w:rPr>
              <w:t xml:space="preserve">SOFR + 1.35% </w:t>
            </w:r>
            <w:r>
              <w:rPr>
                <w:rFonts w:ascii="Lato;sans-serif" w:hAnsi="Lato;sans-serif"/>
                <w:b w:val="false"/>
                <w:color w:val="000000"/>
                <w:sz w:val="12"/>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Variable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300,000 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January 2030</w:t>
            </w:r>
          </w:p>
        </w:tc>
      </w:tr>
      <w:tr>
        <w:trPr/>
        <w:tc>
          <w:tcPr>
            <w:tcW w:w="37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 xml:space="preserve">Senior unsecured credit facility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r>
              <w:rPr>
                <w:rFonts w:ascii="Lato;sans-serif" w:hAnsi="Lato;sans-serif"/>
                <w:b w:val="false"/>
                <w:color w:val="000000"/>
                <w:sz w:val="18"/>
              </w:rPr>
              <w:t>SOFR + 1.40%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Variable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val="false"/>
                <w:color w:val="000000"/>
                <w:sz w:val="18"/>
              </w:rPr>
              <w:t xml:space="preserve">January 2030 </w:t>
            </w:r>
            <w:r>
              <w:rPr>
                <w:rFonts w:ascii="Lato;sans-serif" w:hAnsi="Lato;sans-serif"/>
                <w:b w:val="false"/>
                <w:color w:val="000000"/>
                <w:sz w:val="12"/>
              </w:rPr>
              <w:t>(2)</w:t>
            </w:r>
          </w:p>
        </w:tc>
      </w:tr>
      <w:tr>
        <w:trPr/>
        <w:tc>
          <w:tcPr>
            <w:tcW w:w="3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Total debt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1,100,000 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color w:val="000000"/>
              </w:rPr>
              <w:t>     </w:t>
            </w:r>
            <w:r>
              <w:rPr>
                <w:rFonts w:ascii="Lato;sans-serif" w:hAnsi="Lato;sans-serif"/>
                <w:b w:val="false"/>
                <w:color w:val="000000"/>
                <w:sz w:val="18"/>
              </w:rPr>
              <w:t xml:space="preserve">Unamortized debt issuance costs </w:t>
            </w:r>
            <w:r>
              <w:rPr>
                <w:rFonts w:ascii="Lato;sans-serif" w:hAnsi="Lato;sans-serif"/>
                <w:b w:val="false"/>
                <w:color w:val="000000"/>
                <w:sz w:val="12"/>
              </w:rPr>
              <w:t>(3)</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(962)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Debt, net of unamortized debt issuance costs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3" w:type="dxa"/>
            <w:gridSpan w:val="9"/>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w:t>
            </w:r>
          </w:p>
        </w:tc>
        <w:tc>
          <w:tcPr>
            <w:tcW w:w="11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8"/>
              </w:rPr>
            </w:pPr>
            <w:r>
              <w:rPr>
                <w:rFonts w:ascii="Lato;sans-serif" w:hAnsi="Lato;sans-serif"/>
                <w:b w:val="false"/>
                <w:color w:val="000000"/>
                <w:sz w:val="18"/>
              </w:rPr>
              <w:t>1,099,038 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20"/>
              </w:rPr>
            </w:pPr>
            <w:r>
              <w:rPr>
                <w:rFonts w:ascii="Lato;sans-serif" w:hAnsi="Lato;sans-serif"/>
                <w:b/>
                <w:color w:val="000000"/>
                <w:sz w:val="20"/>
              </w:rPr>
              <w:t>Debt Metrics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Weighted-average interest rate</w:t>
            </w:r>
            <w:r>
              <w:rPr>
                <w:color w:val="000000"/>
              </w:rPr>
              <w:t xml:space="preserve"> </w:t>
            </w:r>
            <w:r>
              <w:rPr>
                <w:rFonts w:ascii="Lato;sans-serif" w:hAnsi="Lato;sans-serif"/>
                <w:b w:val="false"/>
                <w:color w:val="000000"/>
                <w:sz w:val="12"/>
              </w:rPr>
              <w:t>(4)</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4.9%</w:t>
            </w:r>
          </w:p>
        </w:tc>
        <w:tc>
          <w:tcPr>
            <w:tcW w:w="32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Percent fixed rate </w:t>
            </w:r>
            <w:r>
              <w:rPr>
                <w:rFonts w:ascii="Lato;sans-serif" w:hAnsi="Lato;sans-serif"/>
                <w:b w:val="false"/>
                <w:color w:val="000000"/>
                <w:sz w:val="12"/>
              </w:rPr>
              <w:t>(4)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39%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8"/>
              </w:rPr>
              <w:t xml:space="preserve">Net debt to EBITDA </w:t>
            </w:r>
            <w:r>
              <w:rPr>
                <w:rFonts w:ascii="Lato;sans-serif" w:hAnsi="Lato;sans-serif"/>
                <w:b w:val="false"/>
                <w:color w:val="000000"/>
                <w:sz w:val="12"/>
              </w:rPr>
              <w:t>(5)</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3.1x</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Average years to maturity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8"/>
              </w:rPr>
            </w:pPr>
            <w:r>
              <w:rPr>
                <w:rFonts w:ascii="Lato;sans-serif" w:hAnsi="Lato;sans-serif"/>
                <w:b w:val="false"/>
                <w:color w:val="000000"/>
                <w:sz w:val="18"/>
              </w:rPr>
              <w:t>Average years to maturity - including extensions</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8"/>
              </w:rPr>
            </w:pPr>
            <w:r>
              <w:rPr>
                <w:rFonts w:ascii="Lato;sans-serif" w:hAnsi="Lato;sans-serif"/>
                <w:b w:val="false"/>
                <w:color w:val="000000"/>
                <w:sz w:val="18"/>
              </w:rPr>
              <w:t>3.2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0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pPr>
      <w:r>
        <w:rPr>
          <w:rFonts w:ascii="Lato;sans-serif" w:hAnsi="Lato;sans-serif"/>
          <w:b w:val="false"/>
          <w:color w:val="000000"/>
          <w:sz w:val="12"/>
        </w:rPr>
        <w:t>(1)    </w:t>
      </w:r>
      <w:r>
        <w:rPr>
          <w:rFonts w:ascii="Lato;sans-serif" w:hAnsi="Lato;sans-serif"/>
          <w:b w:val="false"/>
          <w:color w:val="000000"/>
          <w:sz w:val="16"/>
        </w:rPr>
        <w:t>As of June 30, 2026, the interest rate on the portion of variable-rate debt subject to interest rate swaps was 4.83%, and the interest rate on the remaining variable-rate debt was 4.97%</w:t>
      </w:r>
    </w:p>
    <w:p>
      <w:pPr>
        <w:pStyle w:val="TextBody"/>
        <w:bidi w:val="0"/>
        <w:spacing w:lineRule="auto" w:line="288" w:before="0" w:after="0"/>
        <w:ind w:left="0" w:right="0" w:hanging="360"/>
        <w:jc w:val="left"/>
        <w:rPr/>
      </w:pPr>
      <w:r>
        <w:rPr>
          <w:rFonts w:ascii="Lato;sans-serif" w:hAnsi="Lato;sans-serif"/>
          <w:b w:val="false"/>
          <w:color w:val="000000"/>
          <w:sz w:val="10"/>
        </w:rPr>
        <w:t>(2)    </w:t>
      </w:r>
      <w:r>
        <w:rPr>
          <w:rFonts w:ascii="Lato;sans-serif" w:hAnsi="Lato;sans-serif"/>
          <w:b w:val="false"/>
          <w:color w:val="000000"/>
          <w:sz w:val="16"/>
        </w:rPr>
        <w:t>Maturity date may be extended for two six-month periods upon the payment of applicable fees and the satisfaction of certain customary conditions.</w:t>
      </w:r>
    </w:p>
    <w:p>
      <w:pPr>
        <w:pStyle w:val="TextBody"/>
        <w:bidi w:val="0"/>
        <w:spacing w:lineRule="auto" w:line="288" w:before="0" w:after="0"/>
        <w:ind w:left="0" w:right="0" w:hanging="360"/>
        <w:jc w:val="left"/>
        <w:rPr/>
      </w:pPr>
      <w:r>
        <w:rPr>
          <w:rFonts w:ascii="Lato;sans-serif" w:hAnsi="Lato;sans-serif"/>
          <w:b w:val="false"/>
          <w:color w:val="000000"/>
          <w:sz w:val="10"/>
        </w:rPr>
        <w:t>(3)    </w:t>
      </w:r>
      <w:r>
        <w:rPr>
          <w:rFonts w:ascii="Lato;sans-serif" w:hAnsi="Lato;sans-serif"/>
          <w:b w:val="false"/>
          <w:color w:val="000000"/>
          <w:sz w:val="16"/>
        </w:rPr>
        <w:t>Excludes debt issuance costs related to our senior unsecured credit facility, which are included within Prepaid and Other Assets on the accompanying consolidated balance sheet.</w:t>
      </w:r>
    </w:p>
    <w:p>
      <w:pPr>
        <w:pStyle w:val="TextBody"/>
        <w:bidi w:val="0"/>
        <w:spacing w:lineRule="auto" w:line="288" w:before="0" w:after="0"/>
        <w:ind w:left="0" w:right="0" w:hanging="360"/>
        <w:jc w:val="left"/>
        <w:rPr/>
      </w:pPr>
      <w:r>
        <w:rPr>
          <w:rFonts w:ascii="Lato;sans-serif" w:hAnsi="Lato;sans-serif"/>
          <w:b w:val="false"/>
          <w:color w:val="000000"/>
          <w:sz w:val="10"/>
        </w:rPr>
        <w:t>(4)    </w:t>
      </w:r>
      <w:r>
        <w:rPr>
          <w:rFonts w:ascii="Lato;sans-serif" w:hAnsi="Lato;sans-serif"/>
          <w:b w:val="false"/>
          <w:color w:val="000000"/>
          <w:sz w:val="16"/>
        </w:rPr>
        <w:t>Including the effect of interest rate swaps as of June 30, 2026.</w:t>
      </w:r>
    </w:p>
    <w:p>
      <w:pPr>
        <w:pStyle w:val="TextBody"/>
        <w:bidi w:val="0"/>
        <w:spacing w:lineRule="auto" w:line="288" w:before="0" w:after="0"/>
        <w:ind w:left="0" w:right="0" w:hanging="360"/>
        <w:jc w:val="left"/>
        <w:rPr/>
      </w:pPr>
      <w:r>
        <w:rPr>
          <w:rFonts w:ascii="Lato;sans-serif" w:hAnsi="Lato;sans-serif"/>
          <w:b w:val="false"/>
          <w:color w:val="000000"/>
          <w:sz w:val="10"/>
        </w:rPr>
        <w:t xml:space="preserve">(5) </w:t>
      </w:r>
      <w:r>
        <w:rPr>
          <w:rFonts w:ascii="Lato;sans-serif" w:hAnsi="Lato;sans-serif"/>
          <w:b w:val="false"/>
          <w:color w:val="000000"/>
          <w:sz w:val="16"/>
        </w:rPr>
        <w:t>Trailing 12 month Adjusted EBITDA as of June 30, 2026.</w:t>
      </w:r>
    </w:p>
    <w:p>
      <w:pPr>
        <w:pStyle w:val="TextBody"/>
        <w:bidi w:val="0"/>
        <w:spacing w:before="0" w:after="0"/>
        <w:ind w:left="0" w:right="0" w:hanging="360"/>
        <w:jc w:val="left"/>
        <w:rPr/>
      </w:pPr>
      <w:r>
        <w:rPr/>
      </w:r>
    </w:p>
    <w:p>
      <w:pPr>
        <w:pStyle w:val="TextBody"/>
        <w:bidi w:val="0"/>
        <w:spacing w:before="140" w:after="283"/>
        <w:ind w:left="0" w:right="0" w:hanging="360"/>
        <w:jc w:val="left"/>
        <w:rPr/>
      </w:pPr>
      <w:r>
        <w:rPr/>
      </w:r>
    </w:p>
    <w:p>
      <w:pPr>
        <w:pStyle w:val="TextBody"/>
        <w:bidi w:val="0"/>
        <w:spacing w:before="4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450215"/>
                <wp:effectExtent l="0" t="0" r="0" b="0"/>
                <wp:wrapNone/>
                <wp:docPr id="17" name="Frame16"/>
                <a:graphic xmlns:a="http://schemas.openxmlformats.org/drawingml/2006/main">
                  <a:graphicData uri="http://schemas.microsoft.com/office/word/2010/wordprocessingShape">
                    <wps:wsp>
                      <wps:cNvSpPr txBox="1"/>
                      <wps:spPr>
                        <a:xfrm>
                          <a:off x="0" y="0"/>
                          <a:ext cx="6480175" cy="450215"/>
                        </a:xfrm>
                        <a:prstGeom prst="rect"/>
                        <a:solidFill>
                          <a:srgbClr val="FFFFFF"/>
                        </a:solidFill>
                      </wps:spPr>
                      <wps:txbx>
                        <w:txbxContent>
                          <w:p>
                            <w:pPr>
                              <w:pStyle w:val="TextBody"/>
                              <w:bidi w:val="0"/>
                              <w:spacing w:before="0" w:after="200"/>
                              <w:jc w:val="center"/>
                              <w:rPr/>
                            </w:pPr>
                            <w:r>
                              <w:rPr/>
                            </w:r>
                            <w:r>
                              <w:br w:type="page"/>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5.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200"/>
                        <w:jc w:val="center"/>
                        <w:rPr/>
                      </w:pPr>
                      <w:r>
                        <w:rPr/>
                      </w:r>
                    </w:p>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13</w:t>
                      </w:r>
                    </w:p>
                  </w:txbxContent>
                </v:textbox>
                <w10:wrap type="none"/>
              </v:rect>
            </w:pict>
          </mc:Fallback>
        </mc:AlternateContent>
      </w:r>
    </w:p>
    <w:p>
      <w:pPr>
        <w:pStyle w:val="TextBody"/>
        <w:bidi w:val="0"/>
        <w:spacing w:lineRule="auto" w:line="288" w:before="0" w:after="0"/>
        <w:jc w:val="center"/>
        <w:rPr>
          <w:rFonts w:ascii="Lato Black;sans-serif" w:hAnsi="Lato Black;sans-serif"/>
          <w:b/>
          <w:color w:val="000000"/>
          <w:sz w:val="20"/>
        </w:rPr>
      </w:pPr>
      <w:r>
        <w:rPr>
          <w:rFonts w:ascii="Lato Black;sans-serif" w:hAnsi="Lato Black;sans-serif"/>
          <w:b/>
          <w:color w:val="000000"/>
          <w:sz w:val="20"/>
        </w:rPr>
        <w:t>Hotel Information as of July 30, 2026</w:t>
      </w:r>
    </w:p>
    <w:tbl>
      <w:tblPr>
        <w:tblW w:w="10205" w:type="dxa"/>
        <w:jc w:val="center"/>
        <w:tblInd w:w="0" w:type="dxa"/>
        <w:tblLayout w:type="fixed"/>
        <w:tblCellMar>
          <w:top w:w="28" w:type="dxa"/>
          <w:left w:w="28" w:type="dxa"/>
          <w:bottom w:w="28" w:type="dxa"/>
          <w:right w:w="28" w:type="dxa"/>
        </w:tblCellMar>
      </w:tblPr>
      <w:tblGrid>
        <w:gridCol w:w="725"/>
        <w:gridCol w:w="551"/>
        <w:gridCol w:w="561"/>
        <w:gridCol w:w="200"/>
        <w:gridCol w:w="200"/>
        <w:gridCol w:w="201"/>
        <w:gridCol w:w="396"/>
        <w:gridCol w:w="396"/>
        <w:gridCol w:w="401"/>
        <w:gridCol w:w="457"/>
        <w:gridCol w:w="391"/>
        <w:gridCol w:w="395"/>
        <w:gridCol w:w="345"/>
        <w:gridCol w:w="345"/>
        <w:gridCol w:w="346"/>
        <w:gridCol w:w="363"/>
        <w:gridCol w:w="363"/>
        <w:gridCol w:w="368"/>
        <w:gridCol w:w="363"/>
        <w:gridCol w:w="363"/>
        <w:gridCol w:w="364"/>
        <w:gridCol w:w="379"/>
        <w:gridCol w:w="379"/>
        <w:gridCol w:w="380"/>
        <w:gridCol w:w="280"/>
        <w:gridCol w:w="280"/>
        <w:gridCol w:w="413"/>
      </w:tblGrid>
      <w:tr>
        <w:trPr/>
        <w:tc>
          <w:tcPr>
            <w:tcW w:w="725"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561"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1"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391" w:type="dxa"/>
            <w:tcBorders/>
            <w:vAlign w:val="center"/>
          </w:tcPr>
          <w:p>
            <w:pPr>
              <w:pStyle w:val="TableContents"/>
              <w:bidi w:val="0"/>
              <w:spacing w:before="0" w:after="283"/>
              <w:jc w:val="left"/>
              <w:rPr>
                <w:sz w:val="4"/>
                <w:szCs w:val="4"/>
              </w:rPr>
            </w:pPr>
            <w:r>
              <w:rPr>
                <w:sz w:val="4"/>
                <w:szCs w:val="4"/>
              </w:rPr>
            </w:r>
          </w:p>
        </w:tc>
        <w:tc>
          <w:tcPr>
            <w:tcW w:w="39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c>
          <w:tcPr>
            <w:tcW w:w="364"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280" w:type="dxa"/>
            <w:tcBorders/>
            <w:vAlign w:val="center"/>
          </w:tcPr>
          <w:p>
            <w:pPr>
              <w:pStyle w:val="TableContents"/>
              <w:bidi w:val="0"/>
              <w:spacing w:before="0" w:after="283"/>
              <w:jc w:val="left"/>
              <w:rPr>
                <w:sz w:val="4"/>
                <w:szCs w:val="4"/>
              </w:rPr>
            </w:pPr>
            <w:r>
              <w:rPr>
                <w:sz w:val="4"/>
                <w:szCs w:val="4"/>
              </w:rPr>
            </w:r>
          </w:p>
        </w:tc>
        <w:tc>
          <w:tcPr>
            <w:tcW w:w="413" w:type="dxa"/>
            <w:tcBorders/>
            <w:vAlign w:val="center"/>
          </w:tcPr>
          <w:p>
            <w:pPr>
              <w:pStyle w:val="TableContents"/>
              <w:bidi w:val="0"/>
              <w:spacing w:before="0" w:after="283"/>
              <w:jc w:val="left"/>
              <w:rPr>
                <w:sz w:val="4"/>
                <w:szCs w:val="4"/>
              </w:rPr>
            </w:pPr>
            <w:r>
              <w:rPr>
                <w:sz w:val="4"/>
                <w:szCs w:val="4"/>
              </w:rPr>
            </w:r>
          </w:p>
        </w:tc>
      </w:tr>
      <w:tr>
        <w:trPr/>
        <w:tc>
          <w:tcPr>
            <w:tcW w:w="183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 xml:space="preserve">Hotel </w:t>
            </w:r>
          </w:p>
        </w:tc>
        <w:tc>
          <w:tcPr>
            <w:tcW w:w="6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4"/>
              </w:rPr>
            </w:pPr>
            <w:r>
              <w:rPr>
                <w:rFonts w:ascii="Lato;sans-serif" w:hAnsi="Lato;sans-serif"/>
                <w:b/>
                <w:color w:val="000000"/>
                <w:sz w:val="14"/>
              </w:rPr>
              <w:t>Rooms</w:t>
            </w:r>
          </w:p>
        </w:tc>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Location</w:t>
            </w:r>
          </w:p>
        </w:tc>
        <w:tc>
          <w:tcPr>
            <w:tcW w:w="124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Franchisor</w:t>
            </w:r>
          </w:p>
        </w:tc>
        <w:tc>
          <w:tcPr>
            <w:tcW w:w="1036"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Contract Expiration</w:t>
            </w:r>
          </w:p>
        </w:tc>
        <w:tc>
          <w:tcPr>
            <w:tcW w:w="1094"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Operator</w:t>
            </w:r>
          </w:p>
        </w:tc>
        <w:tc>
          <w:tcPr>
            <w:tcW w:w="1090"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Contract Expiration</w:t>
            </w:r>
          </w:p>
        </w:tc>
        <w:tc>
          <w:tcPr>
            <w:tcW w:w="1138"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Ground Lease Expiration</w:t>
            </w:r>
          </w:p>
        </w:tc>
        <w:tc>
          <w:tcPr>
            <w:tcW w:w="973" w:type="dxa"/>
            <w:gridSpan w:val="3"/>
            <w:tcBorders/>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color w:val="000000"/>
                <w:sz w:val="14"/>
              </w:rPr>
            </w:pPr>
            <w:r>
              <w:rPr>
                <w:rFonts w:ascii="Lato;sans-serif" w:hAnsi="Lato;sans-serif"/>
                <w:b/>
                <w:color w:val="000000"/>
                <w:sz w:val="14"/>
              </w:rPr>
              <w:t>Mortgage Debt</w:t>
            </w:r>
          </w:p>
        </w:tc>
      </w:tr>
      <w:tr>
        <w:trPr/>
        <w:tc>
          <w:tcPr>
            <w:tcW w:w="1837"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AC Hotel Minneapolis Downtown</w:t>
            </w:r>
          </w:p>
        </w:tc>
        <w:tc>
          <w:tcPr>
            <w:tcW w:w="60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245</w:t>
            </w:r>
          </w:p>
        </w:tc>
        <w:tc>
          <w:tcPr>
            <w:tcW w:w="119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Minneapolis, MN</w:t>
            </w:r>
          </w:p>
        </w:tc>
        <w:tc>
          <w:tcPr>
            <w:tcW w:w="124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Oct 2041</w:t>
            </w:r>
          </w:p>
        </w:tc>
        <w:tc>
          <w:tcPr>
            <w:tcW w:w="109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Sage Hospitality</w:t>
            </w:r>
          </w:p>
        </w:tc>
        <w:tc>
          <w:tcPr>
            <w:tcW w:w="109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Atlanta Marriott Alpharetta</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318</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Atlanta, GA</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 xml:space="preserve">Marriott </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4"/>
              </w:rPr>
              <w:t>Sep 2050</w:t>
            </w:r>
            <w:r>
              <w:rPr>
                <w:color w:val="000000"/>
              </w:rPr>
              <w:t xml:space="preserve"> </w:t>
            </w:r>
            <w:r>
              <w:rPr>
                <w:rFonts w:ascii="Lato;sans-serif" w:hAnsi="Lato;sans-serif"/>
                <w:b w:val="false"/>
                <w:color w:val="000000"/>
                <w:sz w:val="10"/>
              </w:rPr>
              <w:t>(1)</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Bourbon Orleans Hotel</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220</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New Orleans, LA</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Cavallo Point, The Lodge at the Golden Gate</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142</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Sausalito, CA</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Passport Resorts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2066</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Chicago Marriott Downtown Magnificent Mile</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1,200</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Chicago, IL</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N/A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4"/>
              </w:rPr>
              <w:t>Dec 2038</w:t>
            </w:r>
            <w:r>
              <w:rPr>
                <w:color w:val="000000"/>
              </w:rPr>
              <w:t xml:space="preserve"> </w:t>
            </w:r>
            <w:r>
              <w:rPr>
                <w:rFonts w:ascii="Lato;sans-serif" w:hAnsi="Lato;sans-serif"/>
                <w:b w:val="false"/>
                <w:color w:val="000000"/>
                <w:sz w:val="10"/>
              </w:rPr>
              <w:t>(2)</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Chico Hot Springs Resort &amp; Day Spa</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117</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Pray, MT</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EOS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Denver Downtown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177</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Denver, CO</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Oct 2027</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Sage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New York Manhattan/Midtown East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321</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New York, NY</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Aug 2042</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Highgate Hotels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Embassy Suites by Hilton Bethesda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272</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Bethesda, MD</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Hilton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Feb 2037</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Sage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2087</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Havana Cabana Key West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106</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Key West, FL</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EOS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Henderson Beach Resort</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270</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Destin, FL</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Henderson Park Inn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37</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Destin, FL</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Hilton Garden Inn New York/Times Square Central</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282</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New York, NY</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Hilton</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Jun 2033</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Highgate Hotels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Champlain Burlington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252</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Burlington, VT</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Hilton</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Jun 2034</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Clio</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199</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Denver, CO</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Oct 2036</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Sage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Emblem San Francisco</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96</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San Francisco, CA</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Parable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Hotel Palomar Phoenix</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242</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Phoenix, AZ</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N/A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IHG Hotels &amp; Resorts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Dec 2027 or upon sale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2085</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Shorebreak Fort Lauderdale Beach Resort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96</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Fort Lauderdale, FL</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IHG Hotels &amp; Resorts</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Apr 2041</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HEI Hotels &amp; Resorts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Shorebreak Huntington Beach Resort</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157</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Huntington Beach, CA</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N/A</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IHG Hotels &amp; Resorts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L'Auberge de Sedona</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158</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Sedona, AZ</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2124</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Lake Austin Spa Resort</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40</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Austin, TX</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EOS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Margaritaville Beach House Key West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186</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Key West, FL</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Margaritaville</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Apr 2041</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Ocean Properties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Jul 2027</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Salt Lake City Marriott Downtown at City Creek</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510</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Salt Lake City, UT</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4"/>
              </w:rPr>
              <w:t>Sep 2050</w:t>
            </w:r>
            <w:r>
              <w:rPr>
                <w:color w:val="000000"/>
              </w:rPr>
              <w:t xml:space="preserve"> </w:t>
            </w:r>
            <w:r>
              <w:rPr>
                <w:rFonts w:ascii="Lato;sans-serif" w:hAnsi="Lato;sans-serif"/>
                <w:b w:val="false"/>
                <w:color w:val="000000"/>
                <w:sz w:val="10"/>
              </w:rPr>
              <w:t>(1)</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HEI Hotels &amp; Resorts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2056/2106</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Dagny Boston</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403</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Boston, MA</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Gwen</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311</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Chicago, IL</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Sep 2035</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HEI Hotels &amp; Resorts</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Hythe Vail</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344</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Vail, CO</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Dec 2041</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Vail Resorts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Landing Lake Tahoe Resort &amp; Spa</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82</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South Lake Tahoe, CA</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Lindy Renaissance Charleston Hotel</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167</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Charleston, SC</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Dec 2031</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Lodge at Sonoma Resort</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182</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Sonoma, CA</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Dec 2035</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Sage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Tranquility Bay Beachfront Resort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103</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Marathon, FL</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Independent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EOS Hospitality</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Boston Seaport District</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793</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Boston, MA</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4"/>
              </w:rPr>
              <w:t>Dec 2026</w:t>
            </w:r>
            <w:r>
              <w:rPr>
                <w:color w:val="000000"/>
              </w:rPr>
              <w:t xml:space="preserve"> </w:t>
            </w:r>
            <w:r>
              <w:rPr>
                <w:rFonts w:ascii="Lato;sans-serif" w:hAnsi="Lato;sans-serif"/>
                <w:b w:val="false"/>
                <w:color w:val="000000"/>
                <w:sz w:val="10"/>
              </w:rPr>
              <w:t>(3)</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2099</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Fort Lauderdale Beach Resort</w:t>
            </w:r>
          </w:p>
        </w:tc>
        <w:tc>
          <w:tcPr>
            <w:tcW w:w="6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432</w:t>
            </w:r>
          </w:p>
        </w:tc>
        <w:tc>
          <w:tcPr>
            <w:tcW w:w="119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Fort Lauderdale, FL</w:t>
            </w:r>
          </w:p>
        </w:tc>
        <w:tc>
          <w:tcPr>
            <w:tcW w:w="12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Dec 2034</w:t>
            </w:r>
          </w:p>
        </w:tc>
        <w:tc>
          <w:tcPr>
            <w:tcW w:w="1094"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HEI Hotels &amp; Resorts</w:t>
            </w:r>
          </w:p>
        </w:tc>
        <w:tc>
          <w:tcPr>
            <w:tcW w:w="1090"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San Diego Bayview</w:t>
            </w:r>
          </w:p>
        </w:tc>
        <w:tc>
          <w:tcPr>
            <w:tcW w:w="6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436</w:t>
            </w:r>
          </w:p>
        </w:tc>
        <w:tc>
          <w:tcPr>
            <w:tcW w:w="119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San Diego, CA</w:t>
            </w:r>
          </w:p>
        </w:tc>
        <w:tc>
          <w:tcPr>
            <w:tcW w:w="124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36"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Dec 2040</w:t>
            </w:r>
          </w:p>
        </w:tc>
        <w:tc>
          <w:tcPr>
            <w:tcW w:w="1094"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Aimbridge Hospitality</w:t>
            </w:r>
          </w:p>
        </w:tc>
        <w:tc>
          <w:tcPr>
            <w:tcW w:w="1090"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At will with no fee</w:t>
            </w:r>
          </w:p>
        </w:tc>
        <w:tc>
          <w:tcPr>
            <w:tcW w:w="1138"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shd w:fill="CCEEFF" w:val="clear"/>
            <w:tcMar>
              <w:top w:w="0" w:type="dxa"/>
              <w:left w:w="0" w:type="dxa"/>
              <w:bottom w:w="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r>
        <w:trPr/>
        <w:tc>
          <w:tcPr>
            <w:tcW w:w="1837"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Worthington Renaissance Fort Worth Hotel</w:t>
            </w:r>
          </w:p>
        </w:tc>
        <w:tc>
          <w:tcPr>
            <w:tcW w:w="601"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Lato;sans-serif" w:hAnsi="Lato;sans-serif"/>
                <w:b w:val="false"/>
                <w:color w:val="000000"/>
                <w:sz w:val="14"/>
              </w:rPr>
            </w:pPr>
            <w:r>
              <w:rPr>
                <w:rFonts w:ascii="Lato;sans-serif" w:hAnsi="Lato;sans-serif"/>
                <w:b w:val="false"/>
                <w:color w:val="000000"/>
                <w:sz w:val="14"/>
              </w:rPr>
              <w:t>504</w:t>
            </w:r>
          </w:p>
        </w:tc>
        <w:tc>
          <w:tcPr>
            <w:tcW w:w="119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Fort Worth, TX</w:t>
            </w:r>
          </w:p>
        </w:tc>
        <w:tc>
          <w:tcPr>
            <w:tcW w:w="124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N/A</w:t>
            </w:r>
          </w:p>
        </w:tc>
        <w:tc>
          <w:tcPr>
            <w:tcW w:w="103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109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Marriott</w:t>
            </w:r>
          </w:p>
        </w:tc>
        <w:tc>
          <w:tcPr>
            <w:tcW w:w="109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0"/>
              <w:jc w:val="left"/>
              <w:rPr/>
            </w:pPr>
            <w:r>
              <w:rPr>
                <w:rFonts w:ascii="Lato;sans-serif" w:hAnsi="Lato;sans-serif"/>
                <w:b w:val="false"/>
                <w:color w:val="000000"/>
                <w:sz w:val="14"/>
              </w:rPr>
              <w:t xml:space="preserve">Dec 2030 </w:t>
            </w:r>
            <w:r>
              <w:rPr>
                <w:rFonts w:ascii="Lato;sans-serif" w:hAnsi="Lato;sans-serif"/>
                <w:b w:val="false"/>
                <w:color w:val="000000"/>
                <w:sz w:val="10"/>
              </w:rPr>
              <w:t>(4)</w:t>
            </w:r>
          </w:p>
        </w:tc>
        <w:tc>
          <w:tcPr>
            <w:tcW w:w="1138"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c>
          <w:tcPr>
            <w:tcW w:w="97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88" w:before="0" w:after="283"/>
              <w:jc w:val="left"/>
              <w:rPr>
                <w:rFonts w:ascii="Lato;sans-serif" w:hAnsi="Lato;sans-serif"/>
                <w:b w:val="false"/>
                <w:color w:val="000000"/>
                <w:sz w:val="14"/>
              </w:rPr>
            </w:pPr>
            <w:r>
              <w:rPr>
                <w:rFonts w:ascii="Lato;sans-serif" w:hAnsi="Lato;sans-serif"/>
                <w:b w:val="false"/>
                <w:color w:val="000000"/>
                <w:sz w:val="14"/>
              </w:rPr>
              <w:t>-</w:t>
            </w:r>
          </w:p>
        </w:tc>
      </w:tr>
    </w:tbl>
    <w:tbl>
      <w:tblPr>
        <w:tblW w:w="10205" w:type="dxa"/>
        <w:jc w:val="left"/>
        <w:tblInd w:w="0" w:type="dxa"/>
        <w:tblLayout w:type="fixed"/>
        <w:tblCellMar>
          <w:top w:w="28" w:type="dxa"/>
          <w:left w:w="28" w:type="dxa"/>
          <w:bottom w:w="28" w:type="dxa"/>
          <w:right w:w="28" w:type="dxa"/>
        </w:tblCellMar>
      </w:tblPr>
      <w:tblGrid>
        <w:gridCol w:w="3354"/>
        <w:gridCol w:w="2831"/>
        <w:gridCol w:w="4020"/>
      </w:tblGrid>
      <w:tr>
        <w:trPr/>
        <w:tc>
          <w:tcPr>
            <w:tcW w:w="3354" w:type="dxa"/>
            <w:tcBorders/>
            <w:vAlign w:val="center"/>
          </w:tcPr>
          <w:p>
            <w:pPr>
              <w:pStyle w:val="TableContents"/>
              <w:bidi w:val="0"/>
              <w:spacing w:before="0" w:after="283"/>
              <w:jc w:val="left"/>
              <w:rPr>
                <w:sz w:val="4"/>
                <w:szCs w:val="4"/>
              </w:rPr>
            </w:pPr>
            <w:r>
              <w:rPr>
                <w:sz w:val="4"/>
                <w:szCs w:val="4"/>
              </w:rPr>
            </w:r>
          </w:p>
        </w:tc>
        <w:tc>
          <w:tcPr>
            <w:tcW w:w="2831" w:type="dxa"/>
            <w:tcBorders/>
            <w:vAlign w:val="center"/>
          </w:tcPr>
          <w:p>
            <w:pPr>
              <w:pStyle w:val="TableContents"/>
              <w:bidi w:val="0"/>
              <w:spacing w:before="0" w:after="283"/>
              <w:jc w:val="left"/>
              <w:rPr>
                <w:sz w:val="4"/>
                <w:szCs w:val="4"/>
              </w:rPr>
            </w:pPr>
            <w:r>
              <w:rPr>
                <w:sz w:val="4"/>
                <w:szCs w:val="4"/>
              </w:rPr>
            </w:r>
          </w:p>
        </w:tc>
        <w:tc>
          <w:tcPr>
            <w:tcW w:w="4020"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0"/>
              </w:rPr>
              <w:t xml:space="preserve">(1) </w:t>
            </w:r>
            <w:r>
              <w:rPr>
                <w:rFonts w:ascii="Lato;sans-serif" w:hAnsi="Lato;sans-serif"/>
                <w:b w:val="false"/>
                <w:color w:val="000000"/>
                <w:sz w:val="16"/>
              </w:rPr>
              <w:t>The franchise agreement may be terminated at Marriott's option after September 2040.</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0"/>
              </w:rPr>
              <w:t xml:space="preserve">(2) </w:t>
            </w:r>
            <w:r>
              <w:rPr>
                <w:rFonts w:ascii="Lato;sans-serif" w:hAnsi="Lato;sans-serif"/>
                <w:b w:val="false"/>
                <w:color w:val="000000"/>
                <w:sz w:val="16"/>
              </w:rPr>
              <w:t>Marriott has two 10-year options to extend the management agreement.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jc w:val="left"/>
              <w:rPr/>
            </w:pPr>
            <w:r>
              <w:rPr>
                <w:rFonts w:ascii="Lato;sans-serif" w:hAnsi="Lato;sans-serif"/>
                <w:b w:val="false"/>
                <w:color w:val="000000"/>
                <w:sz w:val="10"/>
              </w:rPr>
              <w:t xml:space="preserve">(3) </w:t>
            </w:r>
            <w:r>
              <w:rPr>
                <w:rFonts w:ascii="Lato;sans-serif" w:hAnsi="Lato;sans-serif"/>
                <w:b w:val="false"/>
                <w:color w:val="000000"/>
                <w:sz w:val="16"/>
              </w:rPr>
              <w:t>On March 19, 2026, the Company entered into a new franchise agreement with Marriott effective January 1, 2027.</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0" w:after="0"/>
              <w:ind w:left="0" w:right="0" w:hanging="180"/>
              <w:jc w:val="left"/>
              <w:rPr/>
            </w:pPr>
            <w:r>
              <w:rPr>
                <w:rFonts w:ascii="Lato;sans-serif" w:hAnsi="Lato;sans-serif"/>
                <w:b w:val="false"/>
                <w:color w:val="000000"/>
                <w:sz w:val="10"/>
              </w:rPr>
              <w:t xml:space="preserve">(4) </w:t>
            </w:r>
            <w:r>
              <w:rPr>
                <w:rFonts w:ascii="Lato;sans-serif" w:hAnsi="Lato;sans-serif"/>
                <w:b w:val="false"/>
                <w:color w:val="000000"/>
                <w:sz w:val="16"/>
              </w:rPr>
              <w:t>Marriott</w:t>
            </w:r>
            <w:r>
              <w:rPr>
                <w:color w:val="000000"/>
              </w:rPr>
              <w:t xml:space="preserve"> </w:t>
            </w:r>
            <w:r>
              <w:rPr>
                <w:rFonts w:ascii="Lato;sans-serif" w:hAnsi="Lato;sans-serif"/>
                <w:b w:val="false"/>
                <w:color w:val="000000"/>
                <w:sz w:val="16"/>
              </w:rPr>
              <w:t>is entitled to one ten-year extension option if they achieve a certain level of operating profit for the three-year period ending December 31, 2029. Marriott is entitled to a second ten-year extension option if they achieve a certain level of operating profit for the three-year period ending December 31, 2039.</w:t>
            </w:r>
          </w:p>
        </w:tc>
      </w:tr>
    </w:tbl>
    <w:p>
      <w:pPr>
        <w:pStyle w:val="TextBody"/>
        <w:bidi w:val="0"/>
        <w:spacing w:before="0" w:after="0"/>
        <w:ind w:left="0" w:right="0" w:firstLine="360"/>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543560"/>
                <wp:effectExtent l="0" t="0" r="0" b="0"/>
                <wp:wrapNone/>
                <wp:docPr id="18" name="Frame17"/>
                <a:graphic xmlns:a="http://schemas.openxmlformats.org/drawingml/2006/main">
                  <a:graphicData uri="http://schemas.microsoft.com/office/word/2010/wordprocessingShape">
                    <wps:wsp>
                      <wps:cNvSpPr txBox="1"/>
                      <wps:spPr>
                        <a:xfrm>
                          <a:off x="0" y="0"/>
                          <a:ext cx="6480175" cy="543560"/>
                        </a:xfrm>
                        <a:prstGeom prst="rect"/>
                        <a:solidFill>
                          <a:srgbClr val="FFFFFF"/>
                        </a:solidFill>
                      </wps:spPr>
                      <wps:txbx>
                        <w:txbxContent>
                          <w:p>
                            <w:pPr>
                              <w:pStyle w:val="TextBody"/>
                              <w:bidi w:val="0"/>
                              <w:spacing w:lineRule="auto" w:line="331" w:before="0" w:after="200"/>
                              <w:jc w:val="center"/>
                              <w:rPr>
                                <w:rFonts w:ascii="Times New Roman;serif" w:hAnsi="Times New Roman;serif"/>
                                <w:b w:val="false"/>
                                <w:color w:val="000000"/>
                                <w:sz w:val="24"/>
                              </w:rPr>
                            </w:pPr>
                            <w:r>
                              <w:rPr>
                                <w:rFonts w:ascii="Times New Roman;serif" w:hAnsi="Times New Roman;serif"/>
                                <w:b w:val="false"/>
                                <w:color w:val="000000"/>
                                <w:sz w:val="24"/>
                              </w:rPr>
                              <w:t>14</w:t>
                            </w:r>
                            <w:r>
                              <w:br w:type="page"/>
                            </w:r>
                          </w:p>
                          <w:p>
                            <w:pPr>
                              <w:pStyle w:val="TextBody"/>
                              <w:bidi w:val="0"/>
                              <w:spacing w:before="0" w:after="20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2.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Times New Roman;serif" w:hAnsi="Times New Roman;serif"/>
                          <w:b w:val="false"/>
                          <w:color w:val="000000"/>
                          <w:sz w:val="24"/>
                        </w:rPr>
                      </w:pPr>
                      <w:r>
                        <w:rPr>
                          <w:rFonts w:ascii="Times New Roman;serif" w:hAnsi="Times New Roman;serif"/>
                          <w:b w:val="false"/>
                          <w:color w:val="000000"/>
                          <w:sz w:val="24"/>
                        </w:rPr>
                        <w:t>14</w:t>
                      </w:r>
                    </w:p>
                    <w:p>
                      <w:pPr>
                        <w:pStyle w:val="TextBody"/>
                        <w:bidi w:val="0"/>
                        <w:spacing w:before="0" w:after="200"/>
                        <w:jc w:val="center"/>
                        <w:rPr/>
                      </w:pPr>
                      <w:r>
                        <w:rPr/>
                      </w:r>
                    </w:p>
                  </w:txbxContent>
                </v:textbox>
                <w10:wrap type="none"/>
              </v:rect>
            </w:pict>
          </mc:Fallback>
        </mc:AlternateContent>
      </w:r>
    </w:p>
    <w:tbl>
      <w:tblPr>
        <w:tblW w:w="14952" w:type="dxa"/>
        <w:jc w:val="center"/>
        <w:tblInd w:w="0" w:type="dxa"/>
        <w:tblLayout w:type="fixed"/>
        <w:tblCellMar>
          <w:top w:w="28" w:type="dxa"/>
          <w:left w:w="28" w:type="dxa"/>
          <w:bottom w:w="28" w:type="dxa"/>
          <w:right w:w="28" w:type="dxa"/>
        </w:tblCellMar>
      </w:tblPr>
      <w:tblGrid>
        <w:gridCol w:w="494"/>
        <w:gridCol w:w="315"/>
        <w:gridCol w:w="317"/>
        <w:gridCol w:w="586"/>
        <w:gridCol w:w="586"/>
        <w:gridCol w:w="196"/>
        <w:gridCol w:w="661"/>
        <w:gridCol w:w="109"/>
        <w:gridCol w:w="196"/>
        <w:gridCol w:w="781"/>
        <w:gridCol w:w="109"/>
        <w:gridCol w:w="263"/>
        <w:gridCol w:w="203"/>
        <w:gridCol w:w="308"/>
        <w:gridCol w:w="195"/>
        <w:gridCol w:w="195"/>
        <w:gridCol w:w="196"/>
        <w:gridCol w:w="240"/>
        <w:gridCol w:w="241"/>
        <w:gridCol w:w="418"/>
        <w:gridCol w:w="240"/>
        <w:gridCol w:w="241"/>
        <w:gridCol w:w="241"/>
        <w:gridCol w:w="262"/>
        <w:gridCol w:w="219"/>
        <w:gridCol w:w="308"/>
        <w:gridCol w:w="195"/>
        <w:gridCol w:w="195"/>
        <w:gridCol w:w="196"/>
        <w:gridCol w:w="196"/>
        <w:gridCol w:w="661"/>
        <w:gridCol w:w="109"/>
        <w:gridCol w:w="196"/>
        <w:gridCol w:w="661"/>
        <w:gridCol w:w="109"/>
        <w:gridCol w:w="271"/>
        <w:gridCol w:w="210"/>
        <w:gridCol w:w="308"/>
        <w:gridCol w:w="195"/>
        <w:gridCol w:w="195"/>
        <w:gridCol w:w="196"/>
        <w:gridCol w:w="196"/>
        <w:gridCol w:w="781"/>
        <w:gridCol w:w="109"/>
        <w:gridCol w:w="196"/>
        <w:gridCol w:w="781"/>
        <w:gridCol w:w="109"/>
        <w:gridCol w:w="240"/>
        <w:gridCol w:w="241"/>
        <w:gridCol w:w="286"/>
      </w:tblGrid>
      <w:tr>
        <w:trPr/>
        <w:tc>
          <w:tcPr>
            <w:tcW w:w="4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1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6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Lato Black;sans-serif" w:hAnsi="Lato Black;sans-serif"/>
                <w:b/>
                <w:color w:val="000000"/>
                <w:sz w:val="16"/>
              </w:rPr>
            </w:pPr>
            <w:r>
              <w:rPr>
                <w:rFonts w:ascii="Lato Black;sans-serif" w:hAnsi="Lato Black;sans-serif"/>
                <w:b/>
                <w:color w:val="000000"/>
                <w:sz w:val="16"/>
              </w:rPr>
              <w:t>Operating Statistics – Second Quarter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ADR</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Occupancy</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RevPAR</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Lato;sans-serif" w:hAnsi="Lato;sans-serif"/>
                <w:b/>
                <w:color w:val="000000"/>
                <w:sz w:val="16"/>
              </w:rPr>
              <w:t>Total RevPAR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2026</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2025</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2026</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2025</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2026</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2025</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2026</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2Q 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1853"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AC Hotel Minneapolis Downtown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70.4 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115.29 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107.13 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132.44 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123.16 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Atlanta Marriott Alpharetta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159.93 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69.7 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115.36 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111.51 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167.71 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Bourbon Orleans Hotel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246.17 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222.29 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248.95 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 xml:space="preserve">Cavallo Point, The Lodge at the Golden Gate </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586.69 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563.32 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425.42 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1,122.25 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968.38 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Chicago Marriott Downtown Magnificent Mile</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295.24 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283.76 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233.49 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203.91 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385.79 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347.15 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Chico Hot Springs Resort &amp; Day Spa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239.42 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63.7 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(16.5)</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113.02 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(27.0)</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265.34 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345.69 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Denver Downtown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236.77 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84.5 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(4.9)</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188.58 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196.29 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212.11 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216.05 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New York Manhattan/Fifth Avenue</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307.77 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324.95 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(5.3)</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96.6 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99.0 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303.61 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327.20 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New York Manhattan/Midtown East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352.64 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354.49 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(0.5)</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94.7 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343.28 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334.11 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Embassy Suites by Hilton Bethesda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152.71 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166.46 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Havana Cabana Key West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82.5 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(0.7)</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190.02 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200.18 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(5.1)</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295.63 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303.70 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Henderson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466.22 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445.60 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366.52 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316.74 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655.53 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606.22 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Henderson Park Inn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710.98 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662.88 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90.2 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83.9 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641.30 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556.37 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1,044.31 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915.22 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Hilton Garden Inn New York/Times Square Central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294.15 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94.8 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287.31 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295.60 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321.79 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Champlain Burlington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215.53 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208.66 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154.28 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237.52 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228.38 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Clio</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342.82 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336.34 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279.00 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266.93 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455.76 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(0.9)</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Emblem San Francisco</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159.39 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134.51 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190.34 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162.90 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Hotel Palomar Phoenix</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240.25 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224.14 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70.6 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67.7 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169.60 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151.63 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255.25 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Shorebreak Fort Lauderdale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195.71 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74.3 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142.96 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(0.7)</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278.32 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291.47 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Shorebreak Huntington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314.33 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307.13 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(0.2)</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360.24 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383.45 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4"/>
              </w:rPr>
              <w:t xml:space="preserve">L'Auberge de Sedona </w:t>
            </w:r>
            <w:r>
              <w:rPr>
                <w:rFonts w:ascii="Lato;sans-serif" w:hAnsi="Lato;sans-serif"/>
                <w:b w:val="false"/>
                <w:color w:val="000000"/>
                <w:sz w:val="9"/>
              </w:rPr>
              <w:t>(1)</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830.97 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818.56 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389.58 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56.2 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1,031.02 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737.68 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39.8 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Lake Austin Spa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972.28 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1,077.87 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(9.8)</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63.8 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642.94 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1,555.15 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1,677.02 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Margaritaville Beach House Key West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363.37 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363.85 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(0.1)</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89.3 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88.6 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451.90 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Salt Lake City Marriott Downtown at City Creek</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217.10 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212.39 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72.6 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166.30 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154.21 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208.58 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Dagny Boston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373.97 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334.24 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90.3 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288.31 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361.31 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 xml:space="preserve">The Gwen </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384.35 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355.48 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311.76 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282.15 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467.09 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427.84 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Hythe Vail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256.50 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92.23 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(11.8)</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170.53 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Landing Lake Tahoe Resort &amp; Spa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390.71 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65.2 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254.73 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465.72 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439.34 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Lindy Renaissance Charleston Hotel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394.55 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94.1 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93.3 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368.17 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483.00 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463.82 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Lodge at Sonoma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474.44 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566.49 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532.04 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6.5 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Tranquility Bay Beachfront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573.82 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604.79 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(5.1)</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78.1 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448.01 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488.71 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(8.3)</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578.96 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629.10 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Boston Seaport District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314.66 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302.46 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89.3 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88.1 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266.47 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444.69 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Fort Lauderdale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249.04 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250.54 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(0.6)</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78.9 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(0.2)</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196.04 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(0.8)</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390.68 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San Diego Bayview</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241.02 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247.02 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82.9 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82.9 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199.84 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270.43 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267.17 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Worthington Renaissance Fort Worth Hotel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211.59 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203.94 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76.3 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(4.6)</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155.59 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287.38 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295.97 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000000"/>
                <w:sz w:val="14"/>
              </w:rPr>
              <w:t xml:space="preserve">Comparable Total </w:t>
            </w:r>
            <w:r>
              <w:rPr>
                <w:rFonts w:ascii="Lato;sans-serif" w:hAnsi="Lato;sans-serif"/>
                <w:b/>
                <w:color w:val="000000"/>
                <w:sz w:val="9"/>
              </w:rPr>
              <w:t>(2)</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308.50</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294.88</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4.6</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78.1</w:t>
            </w:r>
            <w:r>
              <w:rPr>
                <w:color w:val="000000"/>
              </w:rPr>
              <w:t> </w:t>
            </w:r>
          </w:p>
        </w:tc>
        <w:tc>
          <w:tcPr>
            <w:tcW w:w="41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76.3</w:t>
            </w:r>
            <w:r>
              <w:rPr>
                <w:color w:val="000000"/>
              </w:rPr>
              <w:t> </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1.8</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240.79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6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225.03</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7.0</w:t>
            </w:r>
            <w:r>
              <w:rPr>
                <w:color w:val="000000"/>
              </w:rPr>
              <w:t> </w:t>
            </w:r>
          </w:p>
        </w:tc>
        <w:tc>
          <w:tcPr>
            <w:tcW w:w="3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370.06</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7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350.49</w:t>
            </w: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5.6</w:t>
            </w:r>
            <w:r>
              <w:rPr>
                <w:color w:val="000000"/>
              </w:rPr>
              <w:t> </w:t>
            </w:r>
          </w:p>
        </w:tc>
        <w:tc>
          <w:tcPr>
            <w:tcW w:w="28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540"/>
        <w:jc w:val="left"/>
        <w:rPr/>
      </w:pPr>
      <w:r>
        <w:rPr>
          <w:rFonts w:ascii="Lato;sans-serif" w:hAnsi="Lato;sans-serif"/>
          <w:b w:val="false"/>
          <w:color w:val="000000"/>
          <w:sz w:val="10"/>
        </w:rPr>
        <w:t>(1)</w:t>
      </w:r>
      <w:r>
        <w:rPr>
          <w:color w:val="000000"/>
        </w:rPr>
        <w:t xml:space="preserve"> </w:t>
      </w:r>
      <w:r>
        <w:rPr>
          <w:rFonts w:ascii="Lato;sans-serif" w:hAnsi="Lato;sans-serif"/>
          <w:b w:val="false"/>
          <w:color w:val="000000"/>
          <w:sz w:val="16"/>
        </w:rPr>
        <w:t>During the fourth quarter 2025, Orchards Inn Sedona and L'Auberge de Sedona were combined and now operate as one hotel. Amounts presented have been adjusted to reflect the combination.</w:t>
      </w:r>
    </w:p>
    <w:p>
      <w:pPr>
        <w:pStyle w:val="TextBody"/>
        <w:bidi w:val="0"/>
        <w:spacing w:lineRule="auto" w:line="288"/>
        <w:ind w:left="0" w:right="0" w:firstLine="630"/>
        <w:jc w:val="left"/>
        <w:rPr/>
      </w:pPr>
      <w:r>
        <w:rPr>
          <w:rFonts w:ascii="Lato;sans-serif" w:hAnsi="Lato;sans-serif"/>
          <w:b w:val="false"/>
          <w:color w:val="000000"/>
          <w:sz w:val="10"/>
        </w:rPr>
        <w:t>(2)</w:t>
      </w:r>
      <w:r>
        <w:rPr>
          <w:color w:val="000000"/>
        </w:rPr>
        <w:t xml:space="preserve"> </w:t>
      </w:r>
      <w:r>
        <w:rPr>
          <w:rFonts w:ascii="Lato;sans-serif" w:hAnsi="Lato;sans-serif"/>
          <w:b w:val="false"/>
          <w:color w:val="000000"/>
          <w:sz w:val="16"/>
        </w:rPr>
        <w:t>Amounts exclude the Courtyard New York Manhattan/Fifth Avenue which was sold in 2026 and the Westin Washington D.C. City Center which was sold in 2025.</w:t>
      </w:r>
      <w:r>
        <w:rPr>
          <w:color w:val="000000"/>
        </w:rPr>
        <w:t xml:space="preserve"> </w:t>
      </w:r>
    </w:p>
    <w:p>
      <w:pPr>
        <w:pStyle w:val="TextBody"/>
        <w:bidi w:val="0"/>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506095"/>
                <wp:effectExtent l="0" t="0" r="0" b="0"/>
                <wp:wrapNone/>
                <wp:docPr id="19" name="Frame18"/>
                <a:graphic xmlns:a="http://schemas.openxmlformats.org/drawingml/2006/main">
                  <a:graphicData uri="http://schemas.microsoft.com/office/word/2010/wordprocessingShape">
                    <wps:wsp>
                      <wps:cNvSpPr txBox="1"/>
                      <wps:spPr>
                        <a:xfrm>
                          <a:off x="0" y="0"/>
                          <a:ext cx="6480175" cy="506095"/>
                        </a:xfrm>
                        <a:prstGeom prst="rect"/>
                        <a:solidFill>
                          <a:srgbClr val="FFFFFF"/>
                        </a:solidFill>
                      </wps:spPr>
                      <wps:txb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15</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15</w:t>
                      </w:r>
                    </w:p>
                    <w:p>
                      <w:pPr>
                        <w:pStyle w:val="TextBody"/>
                        <w:bidi w:val="0"/>
                        <w:spacing w:before="0" w:after="200"/>
                        <w:jc w:val="left"/>
                        <w:rPr/>
                      </w:pPr>
                      <w:r>
                        <w:rPr/>
                      </w:r>
                    </w:p>
                  </w:txbxContent>
                </v:textbox>
                <w10:wrap type="none"/>
              </v:rect>
            </w:pict>
          </mc:Fallback>
        </mc:AlternateContent>
      </w:r>
    </w:p>
    <w:p>
      <w:pPr>
        <w:pStyle w:val="TextBody"/>
        <w:bidi w:val="0"/>
        <w:spacing w:before="0" w:after="0"/>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506095"/>
                <wp:effectExtent l="0" t="0" r="0" b="0"/>
                <wp:wrapNone/>
                <wp:docPr id="20" name="Frame19"/>
                <a:graphic xmlns:a="http://schemas.openxmlformats.org/drawingml/2006/main">
                  <a:graphicData uri="http://schemas.microsoft.com/office/word/2010/wordprocessingShape">
                    <wps:wsp>
                      <wps:cNvSpPr txBox="1"/>
                      <wps:spPr>
                        <a:xfrm>
                          <a:off x="0" y="0"/>
                          <a:ext cx="6480175" cy="506095"/>
                        </a:xfrm>
                        <a:prstGeom prst="rect"/>
                        <a:solidFill>
                          <a:srgbClr val="FFFFFF"/>
                        </a:solidFill>
                      </wps:spPr>
                      <wps:txb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16</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16</w:t>
                      </w:r>
                    </w:p>
                    <w:p>
                      <w:pPr>
                        <w:pStyle w:val="TextBody"/>
                        <w:bidi w:val="0"/>
                        <w:spacing w:before="0" w:after="200"/>
                        <w:jc w:val="left"/>
                        <w:rPr/>
                      </w:pPr>
                      <w:r>
                        <w:rPr/>
                      </w:r>
                    </w:p>
                  </w:txbxContent>
                </v:textbox>
                <w10:wrap type="none"/>
              </v:rect>
            </w:pict>
          </mc:Fallback>
        </mc:AlternateContent>
      </w:r>
    </w:p>
    <w:tbl>
      <w:tblPr>
        <w:tblW w:w="14952" w:type="dxa"/>
        <w:jc w:val="left"/>
        <w:tblInd w:w="0" w:type="dxa"/>
        <w:tblLayout w:type="fixed"/>
        <w:tblCellMar>
          <w:top w:w="28" w:type="dxa"/>
          <w:left w:w="28" w:type="dxa"/>
          <w:bottom w:w="28" w:type="dxa"/>
          <w:right w:w="28" w:type="dxa"/>
        </w:tblCellMar>
      </w:tblPr>
      <w:tblGrid>
        <w:gridCol w:w="494"/>
        <w:gridCol w:w="315"/>
        <w:gridCol w:w="317"/>
        <w:gridCol w:w="586"/>
        <w:gridCol w:w="586"/>
        <w:gridCol w:w="196"/>
        <w:gridCol w:w="661"/>
        <w:gridCol w:w="109"/>
        <w:gridCol w:w="196"/>
        <w:gridCol w:w="781"/>
        <w:gridCol w:w="109"/>
        <w:gridCol w:w="242"/>
        <w:gridCol w:w="224"/>
        <w:gridCol w:w="308"/>
        <w:gridCol w:w="195"/>
        <w:gridCol w:w="195"/>
        <w:gridCol w:w="196"/>
        <w:gridCol w:w="240"/>
        <w:gridCol w:w="241"/>
        <w:gridCol w:w="418"/>
        <w:gridCol w:w="240"/>
        <w:gridCol w:w="241"/>
        <w:gridCol w:w="241"/>
        <w:gridCol w:w="242"/>
        <w:gridCol w:w="239"/>
        <w:gridCol w:w="308"/>
        <w:gridCol w:w="195"/>
        <w:gridCol w:w="195"/>
        <w:gridCol w:w="196"/>
        <w:gridCol w:w="196"/>
        <w:gridCol w:w="661"/>
        <w:gridCol w:w="109"/>
        <w:gridCol w:w="196"/>
        <w:gridCol w:w="661"/>
        <w:gridCol w:w="109"/>
        <w:gridCol w:w="242"/>
        <w:gridCol w:w="239"/>
        <w:gridCol w:w="308"/>
        <w:gridCol w:w="195"/>
        <w:gridCol w:w="195"/>
        <w:gridCol w:w="196"/>
        <w:gridCol w:w="196"/>
        <w:gridCol w:w="781"/>
        <w:gridCol w:w="109"/>
        <w:gridCol w:w="196"/>
        <w:gridCol w:w="781"/>
        <w:gridCol w:w="109"/>
        <w:gridCol w:w="240"/>
        <w:gridCol w:w="241"/>
        <w:gridCol w:w="286"/>
      </w:tblGrid>
      <w:tr>
        <w:trPr/>
        <w:tc>
          <w:tcPr>
            <w:tcW w:w="49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265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Lato Black;sans-serif" w:hAnsi="Lato Black;sans-serif"/>
                <w:b/>
                <w:color w:val="000000"/>
                <w:sz w:val="16"/>
              </w:rPr>
            </w:pPr>
            <w:r>
              <w:rPr>
                <w:rFonts w:ascii="Lato Black;sans-serif" w:hAnsi="Lato Black;sans-serif"/>
                <w:b/>
                <w:color w:val="000000"/>
                <w:sz w:val="16"/>
              </w:rPr>
              <w:t>Operating Statistics – Year to Date</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282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ADR</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Occupancy</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RevPAR</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39" w:type="dxa"/>
            <w:gridSpan w:val="9"/>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 </w:t>
            </w:r>
            <w:r>
              <w:rPr>
                <w:rFonts w:ascii="Lato;sans-serif" w:hAnsi="Lato;sans-serif"/>
                <w:b/>
                <w:color w:val="000000"/>
                <w:sz w:val="16"/>
              </w:rPr>
              <w:t>Total RevPAR</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2026</w:t>
            </w:r>
          </w:p>
        </w:tc>
        <w:tc>
          <w:tcPr>
            <w:tcW w:w="5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2025</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10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2026</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2025</w:t>
            </w:r>
          </w:p>
        </w:tc>
        <w:tc>
          <w:tcPr>
            <w:tcW w:w="8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72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2026</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2025</w:t>
            </w:r>
          </w:p>
        </w:tc>
        <w:tc>
          <w:tcPr>
            <w:tcW w:w="9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2026</w:t>
            </w:r>
          </w:p>
        </w:tc>
        <w:tc>
          <w:tcPr>
            <w:tcW w:w="5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YTD 2025</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Change</w:t>
            </w:r>
          </w:p>
        </w:tc>
        <w:tc>
          <w:tcPr>
            <w:tcW w:w="1853" w:type="dxa"/>
            <w:gridSpan w:val="6"/>
            <w:tcBorders/>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AC Hotel Minneapolis Downtown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146.65 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55.9 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54.6 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85.82 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100.04 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Atlanta Marriott Alpharetta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171.84 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165.65 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64.4 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67.3 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110.72 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111.54 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(0.7)</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163.11 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158.63 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Bourbon Orleans Hotel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254.85 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260.70 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70.8 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186.47 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184.67 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252.36 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 xml:space="preserve">Cavallo Point, The Lodge at the Golden Gate </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552.72 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68.7 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419.29 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1,088.36 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863.68 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26.0 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Chicago Marriott Downtown Magnificent Mile</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260.07 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57.5 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158.04 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145.11 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267.61 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253.34 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5.6 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Chico Hot Springs Resort &amp; Day Spa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209.99 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225.20 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54.0 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61.8 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139.16 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(18.4)</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329.64 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(14.2)</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Denver Downtown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213.02 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201.74 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77.8 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167.56 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156.90 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191.41 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175.45 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9.1 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New York Manhattan/Fifth Avenue</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252.33 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92.9 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95.2 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234.30 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238.83 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243.94 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(0.1)</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Courtyard New York Manhattan/Midtown East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327.76 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77.3 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89.7 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(12.4)</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253.46 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272.67 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(7.0)</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261.05 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282.28 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Embassy Suites by Hilton Bethesda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174.28 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67.6 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67.0 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121.74 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116.72 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141.45 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136.18 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Havana Cabana Key West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282.48 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78.2 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87.6 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(9.4)</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220.89 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256.83 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(14.0)</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317.21 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361.23 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Henderson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408.26 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59.8 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55.9 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244.31 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217.09 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468.67 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439.65 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Henderson Park Inn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646.22 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571.49 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64.6 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68.0 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417.62 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388.70 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696.46 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648.77 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7.4 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Hilton Garden Inn New York/Times Square Central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241.56 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(5.6)</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90.6 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83.0 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218.91 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212.32 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246.86 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Champlain Burlington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179.80 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65.6 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(4.8)</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112.33 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117.91 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174.09 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178.07 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Clio</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76.6 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74.7 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250.80 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3.7 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Hotel Emblem San Francisco</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216.44 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63.7 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185.44 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137.95 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34.4 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221.32 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169.02 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Hotel Palomar Phoenix</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76.5 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205.54 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185.78 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339.89 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297.55 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14.2 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Shorebreak Fort Lauderdale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243.42 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(0.1)</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195.56 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188.87 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361.66 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356.35 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Kimpton Shorebreak Huntington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298.15 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80.2 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77.8 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351.05 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359.91 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4"/>
              </w:rPr>
              <w:t xml:space="preserve">L'Auberge de Sedona </w:t>
            </w:r>
            <w:r>
              <w:rPr>
                <w:rFonts w:ascii="Lato;sans-serif" w:hAnsi="Lato;sans-serif"/>
                <w:b w:val="false"/>
                <w:color w:val="000000"/>
                <w:sz w:val="9"/>
              </w:rPr>
              <w:t>(1)</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753.64 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804.86 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(6.4)</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44.2 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548.40 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54.2 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923.47 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665.65 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38.7 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Lake Austin Spa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972.92 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1,050.08 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60.1 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57.4 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584.56 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602.64 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1,423.50 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1,459.90 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Margaritaville Beach House Key West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431.86 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422.83 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90.7 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0.9 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391.75 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379.71 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520.03 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508.65 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Salt Lake City Marriott Downtown at City Creek</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217.14 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71.0 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159.48 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147.93 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218.92 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202.94 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Dagny Boston</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307.32 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13.4 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80.6 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82.1 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247.59 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222.60 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11.2 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251.40 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8.2 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 xml:space="preserve">The Gwen </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318.37 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295.44 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72.4 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73.2 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(0.8)</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6.5 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338.03 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323.70 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4.4 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Hythe Vail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526.79 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529.96 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(0.6)</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52.8 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58.2 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(5.4)</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278.01 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308.39 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(9.9)</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415.55 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453.04 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(8.3)</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Landing Lake Tahoe Resort &amp; Spa</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359.55 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357.07 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0.7 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55.8 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54.2 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200.73 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193.41 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366.50 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0.1 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Lindy Renaissance Charleston Hotel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367.96 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364.41 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91.0 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89.4 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335.02 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325.83 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430.84 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410.87 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4.9 </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The Lodge at Sonoma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410.94 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400.40 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68.3 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67.5 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280.52 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270.37 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452.84 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445.58 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1.6 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Tranquility Bay Beachfront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635.14 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668.29 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(5.0)</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78.3 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79.8 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497.44 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533.61 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(6.8)</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628.48 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678.94 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(7.4)</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Boston Seaport District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277.67 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271.43 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83.0 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82.2 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230.54 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223.20 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374.88 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354.08 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5.9 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Fort Lauderdale Beach Resort</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291.78 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1.0 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81.8 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81.7 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0.1 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241.04 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238.29 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479.47 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495.17 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(3.2)</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Westin San Diego Bayview</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235.97 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80.5 </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79.7 </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0.8 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190.27 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188.08 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1.2 </w:t>
            </w:r>
          </w:p>
        </w:tc>
        <w:tc>
          <w:tcPr>
            <w:tcW w:w="30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267.58 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259.04 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3.3 </w:t>
            </w:r>
          </w:p>
        </w:tc>
        <w:tc>
          <w:tcPr>
            <w:tcW w:w="28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Worthington Renaissance Fort Worth Hotel</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213.18 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207.93 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2.5 </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70.5 </w:t>
            </w:r>
          </w:p>
        </w:tc>
        <w:tc>
          <w:tcPr>
            <w:tcW w:w="41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75.5 </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(5.0)</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150.21 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66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157.01 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(4.3)</w:t>
            </w:r>
          </w:p>
        </w:tc>
        <w:tc>
          <w:tcPr>
            <w:tcW w:w="30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c>
          <w:tcPr>
            <w:tcW w:w="5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283.56 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4"/>
              </w:rPr>
            </w:pPr>
            <w:r>
              <w:rPr>
                <w:rFonts w:ascii="Lato;sans-serif" w:hAnsi="Lato;sans-serif"/>
                <w:b w:val="false"/>
                <w:color w:val="000000"/>
                <w:sz w:val="14"/>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294.60 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(3.7)</w:t>
            </w:r>
          </w:p>
        </w:tc>
        <w:tc>
          <w:tcPr>
            <w:tcW w:w="28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4"/>
              </w:rPr>
            </w:pPr>
            <w:r>
              <w:rPr>
                <w:rFonts w:ascii="Lato;sans-serif" w:hAnsi="Lato;sans-serif"/>
                <w:b w:val="false"/>
                <w:color w:val="000000"/>
                <w:sz w:val="14"/>
              </w:rPr>
              <w:t>%</w:t>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74"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899" w:type="dxa"/>
            <w:gridSpan w:val="3"/>
            <w:tcBorders/>
            <w:vAlign w:val="center"/>
          </w:tcPr>
          <w:p>
            <w:pPr>
              <w:pStyle w:val="TableContents"/>
              <w:bidi w:val="0"/>
              <w:spacing w:before="0" w:after="283"/>
              <w:jc w:val="left"/>
              <w:rPr>
                <w:sz w:val="4"/>
                <w:szCs w:val="4"/>
              </w:rPr>
            </w:pPr>
            <w:r>
              <w:rPr>
                <w:sz w:val="4"/>
                <w:szCs w:val="4"/>
              </w:rPr>
            </w:r>
          </w:p>
        </w:tc>
        <w:tc>
          <w:tcPr>
            <w:tcW w:w="722"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966" w:type="dxa"/>
            <w:gridSpan w:val="3"/>
            <w:tcBorders/>
            <w:vAlign w:val="center"/>
          </w:tcPr>
          <w:p>
            <w:pPr>
              <w:pStyle w:val="TableContents"/>
              <w:bidi w:val="0"/>
              <w:spacing w:before="0" w:after="283"/>
              <w:jc w:val="left"/>
              <w:rPr>
                <w:sz w:val="4"/>
                <w:szCs w:val="4"/>
              </w:rPr>
            </w:pPr>
            <w:r>
              <w:rPr>
                <w:sz w:val="4"/>
                <w:szCs w:val="4"/>
              </w:rPr>
            </w:r>
          </w:p>
        </w:tc>
        <w:tc>
          <w:tcPr>
            <w:tcW w:w="789" w:type="dxa"/>
            <w:gridSpan w:val="3"/>
            <w:tcBorders/>
            <w:vAlign w:val="center"/>
          </w:tcPr>
          <w:p>
            <w:pPr>
              <w:pStyle w:val="TableContents"/>
              <w:bidi w:val="0"/>
              <w:spacing w:before="0" w:after="283"/>
              <w:jc w:val="left"/>
              <w:rPr>
                <w:sz w:val="4"/>
                <w:szCs w:val="4"/>
              </w:rPr>
            </w:pPr>
            <w:r>
              <w:rPr>
                <w:sz w:val="4"/>
                <w:szCs w:val="4"/>
              </w:rPr>
            </w:r>
          </w:p>
        </w:tc>
        <w:tc>
          <w:tcPr>
            <w:tcW w:w="5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c>
          <w:tcPr>
            <w:tcW w:w="767" w:type="dxa"/>
            <w:gridSpan w:val="3"/>
            <w:tcBorders/>
            <w:vAlign w:val="center"/>
          </w:tcPr>
          <w:p>
            <w:pPr>
              <w:pStyle w:val="TableContents"/>
              <w:bidi w:val="0"/>
              <w:spacing w:before="0" w:after="283"/>
              <w:jc w:val="left"/>
              <w:rPr>
                <w:sz w:val="4"/>
                <w:szCs w:val="4"/>
              </w:rPr>
            </w:pPr>
            <w:r>
              <w:rPr>
                <w:sz w:val="4"/>
                <w:szCs w:val="4"/>
              </w:rPr>
            </w:r>
          </w:p>
        </w:tc>
      </w:tr>
      <w:tr>
        <w:trPr/>
        <w:tc>
          <w:tcPr>
            <w:tcW w:w="1126"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color w:val="000000"/>
                <w:sz w:val="14"/>
              </w:rPr>
              <w:t>Comparable Total</w:t>
            </w:r>
            <w:r>
              <w:rPr>
                <w:color w:val="000000"/>
              </w:rPr>
              <w:t xml:space="preserve"> </w:t>
            </w:r>
            <w:r>
              <w:rPr>
                <w:rFonts w:ascii="Lato;sans-serif" w:hAnsi="Lato;sans-serif"/>
                <w:b/>
                <w:color w:val="000000"/>
                <w:sz w:val="9"/>
              </w:rPr>
              <w:t>(2)</w:t>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298.24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287.45</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3.8</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72.2</w:t>
            </w:r>
            <w:r>
              <w:rPr>
                <w:color w:val="000000"/>
              </w:rPr>
              <w:t> </w:t>
            </w:r>
          </w:p>
        </w:tc>
        <w:tc>
          <w:tcPr>
            <w:tcW w:w="41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71.5</w:t>
            </w:r>
            <w:r>
              <w:rPr>
                <w:color w:val="000000"/>
              </w:rPr>
              <w:t> </w:t>
            </w:r>
          </w:p>
        </w:tc>
        <w:tc>
          <w:tcPr>
            <w:tcW w:w="24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0.7</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215.30</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66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205.47</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4.8</w:t>
            </w:r>
            <w:r>
              <w:rPr>
                <w:color w:val="000000"/>
              </w:rPr>
              <w:t> </w:t>
            </w:r>
          </w:p>
        </w:tc>
        <w:tc>
          <w:tcPr>
            <w:tcW w:w="308"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335.44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4"/>
              </w:rPr>
            </w:pPr>
            <w:r>
              <w:rPr>
                <w:rFonts w:ascii="Lato;sans-serif" w:hAnsi="Lato;sans-serif"/>
                <w:b/>
                <w:color w:val="000000"/>
                <w:sz w:val="14"/>
              </w:rPr>
              <w:t>$</w:t>
            </w:r>
          </w:p>
        </w:tc>
        <w:tc>
          <w:tcPr>
            <w:tcW w:w="78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321.94</w:t>
            </w:r>
            <w:r>
              <w:rPr>
                <w:color w:val="000000"/>
              </w:rPr>
              <w:t> </w:t>
            </w:r>
          </w:p>
        </w:tc>
        <w:tc>
          <w:tcPr>
            <w:tcW w:w="109"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1" w:type="dxa"/>
            <w:gridSpan w:val="2"/>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pPr>
            <w:r>
              <w:rPr>
                <w:rFonts w:ascii="Lato;sans-serif" w:hAnsi="Lato;sans-serif"/>
                <w:b/>
                <w:color w:val="000000"/>
                <w:sz w:val="14"/>
              </w:rPr>
              <w:t>4.2</w:t>
            </w:r>
            <w:r>
              <w:rPr>
                <w:color w:val="000000"/>
              </w:rPr>
              <w:t>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color w:val="000000"/>
                <w:sz w:val="14"/>
              </w:rPr>
            </w:pPr>
            <w:r>
              <w:rPr>
                <w:rFonts w:ascii="Lato;sans-serif" w:hAnsi="Lato;sans-serif"/>
                <w:b/>
                <w:color w:val="000000"/>
                <w:sz w:val="14"/>
              </w:rPr>
              <w:t>%</w:t>
            </w:r>
          </w:p>
        </w:tc>
      </w:tr>
      <w:tr>
        <w:trPr/>
        <w:tc>
          <w:tcPr>
            <w:tcW w:w="11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7"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630"/>
        <w:jc w:val="left"/>
        <w:rPr/>
      </w:pPr>
      <w:r>
        <w:rPr>
          <w:rFonts w:ascii="Lato;sans-serif" w:hAnsi="Lato;sans-serif"/>
          <w:b w:val="false"/>
          <w:color w:val="000000"/>
          <w:sz w:val="10"/>
        </w:rPr>
        <w:t>(1)</w:t>
      </w:r>
      <w:r>
        <w:rPr>
          <w:color w:val="000000"/>
        </w:rPr>
        <w:t xml:space="preserve"> </w:t>
      </w:r>
      <w:r>
        <w:rPr>
          <w:rFonts w:ascii="Lato;sans-serif" w:hAnsi="Lato;sans-serif"/>
          <w:b w:val="false"/>
          <w:color w:val="000000"/>
          <w:sz w:val="16"/>
        </w:rPr>
        <w:t>During the fourth quarter 2025, Orchards Inn Sedona and L'Auberge de Sedona were combined and now operate as one hotel. Amounts presented have been adjusted to reflect the combination.</w:t>
      </w:r>
    </w:p>
    <w:p>
      <w:pPr>
        <w:pStyle w:val="TextBody"/>
        <w:bidi w:val="0"/>
        <w:spacing w:lineRule="auto" w:line="288"/>
        <w:ind w:left="0" w:right="0" w:firstLine="630"/>
        <w:jc w:val="left"/>
        <w:rPr/>
      </w:pPr>
      <w:r>
        <w:rPr>
          <w:rFonts w:ascii="Lato;sans-serif" w:hAnsi="Lato;sans-serif"/>
          <w:b w:val="false"/>
          <w:color w:val="000000"/>
          <w:sz w:val="10"/>
        </w:rPr>
        <w:t>(2)</w:t>
      </w:r>
      <w:r>
        <w:rPr>
          <w:color w:val="000000"/>
        </w:rPr>
        <w:t xml:space="preserve"> </w:t>
      </w:r>
      <w:r>
        <w:rPr>
          <w:rFonts w:ascii="Lato;sans-serif" w:hAnsi="Lato;sans-serif"/>
          <w:b w:val="false"/>
          <w:color w:val="000000"/>
          <w:sz w:val="16"/>
        </w:rPr>
        <w:t>Amounts exclude the Courtyard New York Manhattan/Fifth Avenue which was sold in 2026 and the Westin Washington D.C. City Center which was sold in 2025.</w:t>
      </w:r>
      <w:r>
        <w:rPr>
          <w:color w:val="000000"/>
        </w:rPr>
        <w:t xml:space="preserve"> </w:t>
      </w:r>
    </w:p>
    <w:p>
      <w:pPr>
        <w:pStyle w:val="TextBody"/>
        <w:bidi w:val="0"/>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506095"/>
                <wp:effectExtent l="0" t="0" r="0" b="0"/>
                <wp:wrapNone/>
                <wp:docPr id="21" name="Frame20"/>
                <a:graphic xmlns:a="http://schemas.openxmlformats.org/drawingml/2006/main">
                  <a:graphicData uri="http://schemas.microsoft.com/office/word/2010/wordprocessingShape">
                    <wps:wsp>
                      <wps:cNvSpPr txBox="1"/>
                      <wps:spPr>
                        <a:xfrm>
                          <a:off x="0" y="0"/>
                          <a:ext cx="6480175" cy="506095"/>
                        </a:xfrm>
                        <a:prstGeom prst="rect"/>
                        <a:solidFill>
                          <a:srgbClr val="FFFFFF"/>
                        </a:solidFill>
                      </wps:spPr>
                      <wps:txb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17</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17</w:t>
                      </w:r>
                    </w:p>
                    <w:p>
                      <w:pPr>
                        <w:pStyle w:val="TextBody"/>
                        <w:bidi w:val="0"/>
                        <w:spacing w:before="0" w:after="200"/>
                        <w:jc w:val="left"/>
                        <w:rPr/>
                      </w:pPr>
                      <w:r>
                        <w:rPr/>
                      </w:r>
                    </w:p>
                  </w:txbxContent>
                </v:textbox>
                <w10:wrap type="none"/>
              </v:rect>
            </w:pict>
          </mc:Fallback>
        </mc:AlternateContent>
      </w:r>
    </w:p>
    <w:p>
      <w:pPr>
        <w:pStyle w:val="TextBody"/>
        <w:bidi w:val="0"/>
        <w:spacing w:before="0" w:after="0"/>
        <w:ind w:left="0" w:right="0" w:firstLine="270"/>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506095"/>
                <wp:effectExtent l="0" t="0" r="0" b="0"/>
                <wp:wrapNone/>
                <wp:docPr id="22" name="Frame21"/>
                <a:graphic xmlns:a="http://schemas.openxmlformats.org/drawingml/2006/main">
                  <a:graphicData uri="http://schemas.microsoft.com/office/word/2010/wordprocessingShape">
                    <wps:wsp>
                      <wps:cNvSpPr txBox="1"/>
                      <wps:spPr>
                        <a:xfrm>
                          <a:off x="0" y="0"/>
                          <a:ext cx="6480175" cy="506095"/>
                        </a:xfrm>
                        <a:prstGeom prst="rect"/>
                        <a:solidFill>
                          <a:srgbClr val="FFFFFF"/>
                        </a:solidFill>
                      </wps:spPr>
                      <wps:txb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18</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18</w:t>
                      </w:r>
                    </w:p>
                    <w:p>
                      <w:pPr>
                        <w:pStyle w:val="TextBody"/>
                        <w:bidi w:val="0"/>
                        <w:spacing w:before="0" w:after="200"/>
                        <w:jc w:val="left"/>
                        <w:rPr/>
                      </w:pPr>
                      <w:r>
                        <w:rPr/>
                      </w:r>
                    </w:p>
                  </w:txbxContent>
                </v:textbox>
                <w10:wrap type="none"/>
              </v:rect>
            </w:pict>
          </mc:Fallback>
        </mc:AlternateContent>
      </w:r>
    </w:p>
    <w:tbl>
      <w:tblPr>
        <w:tblW w:w="10531" w:type="dxa"/>
        <w:jc w:val="left"/>
        <w:tblInd w:w="0" w:type="dxa"/>
        <w:tblLayout w:type="fixed"/>
        <w:tblCellMar>
          <w:top w:w="28" w:type="dxa"/>
          <w:left w:w="28" w:type="dxa"/>
          <w:bottom w:w="28" w:type="dxa"/>
          <w:right w:w="28" w:type="dxa"/>
        </w:tblCellMar>
      </w:tblPr>
      <w:tblGrid>
        <w:gridCol w:w="567"/>
        <w:gridCol w:w="354"/>
        <w:gridCol w:w="355"/>
        <w:gridCol w:w="109"/>
        <w:gridCol w:w="109"/>
        <w:gridCol w:w="109"/>
        <w:gridCol w:w="991"/>
        <w:gridCol w:w="211"/>
        <w:gridCol w:w="826"/>
        <w:gridCol w:w="109"/>
        <w:gridCol w:w="430"/>
        <w:gridCol w:w="430"/>
        <w:gridCol w:w="431"/>
        <w:gridCol w:w="211"/>
        <w:gridCol w:w="721"/>
        <w:gridCol w:w="109"/>
        <w:gridCol w:w="211"/>
        <w:gridCol w:w="721"/>
        <w:gridCol w:w="109"/>
        <w:gridCol w:w="346"/>
        <w:gridCol w:w="765"/>
        <w:gridCol w:w="180"/>
        <w:gridCol w:w="211"/>
        <w:gridCol w:w="616"/>
        <w:gridCol w:w="109"/>
        <w:gridCol w:w="211"/>
        <w:gridCol w:w="826"/>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937"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 Black;sans-serif" w:hAnsi="Lato Black;sans-serif"/>
                <w:b/>
                <w:color w:val="000000"/>
                <w:sz w:val="16"/>
              </w:rPr>
            </w:pPr>
            <w:r>
              <w:rPr>
                <w:rFonts w:ascii="Lato Black;sans-serif" w:hAnsi="Lato Black;sans-serif"/>
                <w:b/>
                <w:color w:val="000000"/>
                <w:sz w:val="16"/>
              </w:rPr>
              <w:t>Hotel Adjusted EBITDA Reconciliation - Second Quarter 2026</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937" w:type="dxa"/>
            <w:gridSpan w:val="21"/>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Net Income (Loss)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w:t>
            </w:r>
          </w:p>
        </w:tc>
        <w:tc>
          <w:tcPr>
            <w:tcW w:w="11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Equals: Hotel Adjusted EBITDA</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Total Revenues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Depreciation</w:t>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 xml:space="preserve">Interest Expense </w:t>
            </w:r>
            <w:r>
              <w:rPr>
                <w:rFonts w:ascii="Lato;sans-serif" w:hAnsi="Lato;sans-serif"/>
                <w:b/>
                <w:color w:val="000000"/>
                <w:sz w:val="10"/>
              </w:rPr>
              <w:t>(1)</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Adjustments</w:t>
            </w:r>
            <w:r>
              <w:rPr>
                <w:color w:val="000000"/>
              </w:rPr>
              <w:t xml:space="preserve"> </w:t>
            </w:r>
            <w:r>
              <w:rPr>
                <w:rFonts w:ascii="Lato;sans-serif" w:hAnsi="Lato;sans-serif"/>
                <w:b/>
                <w:color w:val="000000"/>
                <w:sz w:val="10"/>
              </w:rPr>
              <w:t>(2)</w:t>
            </w:r>
          </w:p>
        </w:tc>
        <w:tc>
          <w:tcPr>
            <w:tcW w:w="211" w:type="dxa"/>
            <w:tcBorders/>
          </w:tcPr>
          <w:p>
            <w:pPr>
              <w:pStyle w:val="TableContents"/>
              <w:bidi w:val="0"/>
              <w:spacing w:before="0" w:after="283"/>
              <w:jc w:val="left"/>
              <w:rPr>
                <w:sz w:val="4"/>
                <w:szCs w:val="4"/>
              </w:rPr>
            </w:pPr>
            <w:r>
              <w:rPr>
                <w:sz w:val="4"/>
                <w:szCs w:val="4"/>
              </w:rPr>
            </w:r>
          </w:p>
        </w:tc>
        <w:tc>
          <w:tcPr>
            <w:tcW w:w="616"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AC Hotel Minneapolis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2,953 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640 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956 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Atlanta Marriott Alpharetta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4,853 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Bourbon Orleans Hotel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4,984 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2,056 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Cavallo Point, The Lodge at the Golden Gate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14,502 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4,460 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Chicago Marriott Downtown Magnificent Mile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42,128 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18,107 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20,810 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Chico Hot Springs Resort &amp; Day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Denver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Manhattan/Fifth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Manhattan/Midtown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10,028 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2,510 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3,345 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Embassy Suites by Hilton Bethesda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Havana Cabana Key West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Henderson Beach Resort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4,610 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Henderson Park Inn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3,516 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1,702 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Hilton Garden Inn New York/Times Square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7,586 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Hotel Champlain Burlington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1,321 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Clio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2,577 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Emblem 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1,663 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Hotel Palomar Phoenix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Shorebreak Fort Lauderdale Beach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Kimpton Shorebreak Huntington Beach Resort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5,147 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 xml:space="preserve">L'Auberge de Sedona </w:t>
            </w:r>
            <w:r>
              <w:rPr>
                <w:rFonts w:ascii="Lato;sans-serif" w:hAnsi="Lato;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14,824 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5,039 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6,261 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Lake Austin Spa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1,828 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Margaritaville Beach House Key West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7,649 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3,366 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Salt Lake City Marriott Downtown at City Creek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10,226 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4,000 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Dagny 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13,250 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4,945 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6,544 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Gwen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13,219 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4,754 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5,519 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Hythe Vail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(404)</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Landing Lake Tahoe Resort &amp; Spa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Lindy Renaissance Charleston Hotel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7,340 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Lodge at Sonoma Resort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3,452 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Tranquility Bay Beachfront Resort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1,744 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Boston Seaport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32,090 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7,807 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9,836 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Westin Fort Lauderdale Beach Resort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15,359 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3,902 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San Diego Bayview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10,730 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Worthington Renaissance Fort Worth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13,180 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3,350 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4,316 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318,286 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83,779 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28,680 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101 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113,723 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 xml:space="preserve">Less: Sold Hotel </w:t>
            </w:r>
            <w:r>
              <w:rPr>
                <w:rFonts w:ascii="Lato;sans-serif" w:hAnsi="Lato;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(1,722)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w:t>
            </w:r>
          </w:p>
        </w:tc>
        <w:tc>
          <w:tcPr>
            <w:tcW w:w="18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(508)</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Comparable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316,564 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83,436 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28,680 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6 </w:t>
            </w:r>
          </w:p>
        </w:tc>
        <w:tc>
          <w:tcPr>
            <w:tcW w:w="18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1,114 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113,215 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firstLine="720"/>
        <w:jc w:val="left"/>
        <w:rPr/>
      </w:pPr>
      <w:r>
        <w:rPr>
          <w:rFonts w:ascii="Lato;sans-serif" w:hAnsi="Lato;sans-serif"/>
          <w:b w:val="false"/>
          <w:color w:val="000000"/>
          <w:sz w:val="10"/>
        </w:rPr>
        <w:t xml:space="preserve">(1) </w:t>
      </w:r>
      <w:r>
        <w:rPr>
          <w:rFonts w:ascii="Lato;sans-serif" w:hAnsi="Lato;sans-serif"/>
          <w:b w:val="false"/>
          <w:color w:val="000000"/>
          <w:sz w:val="16"/>
        </w:rPr>
        <w:t>Includes cash ground rent expense for Courtyard New York Manhattan/Fifth Avenue that is classified as interest expense as it is a financing lease for GAAP purposes.</w:t>
      </w:r>
    </w:p>
    <w:p>
      <w:pPr>
        <w:pStyle w:val="TextBody"/>
        <w:bidi w:val="0"/>
        <w:spacing w:lineRule="auto" w:line="288" w:before="0" w:after="0"/>
        <w:ind w:left="0" w:right="0" w:firstLine="720"/>
        <w:jc w:val="left"/>
        <w:rPr/>
      </w:pPr>
      <w:r>
        <w:rPr>
          <w:rFonts w:ascii="Lato;sans-serif" w:hAnsi="Lato;sans-serif"/>
          <w:b w:val="false"/>
          <w:color w:val="000000"/>
          <w:sz w:val="10"/>
        </w:rPr>
        <w:t xml:space="preserve">(2) </w:t>
      </w:r>
      <w:r>
        <w:rPr>
          <w:rFonts w:ascii="Lato;sans-serif" w:hAnsi="Lato;sans-serif"/>
          <w:b w:val="false"/>
          <w:color w:val="000000"/>
          <w:sz w:val="16"/>
        </w:rPr>
        <w:t>Includes non-cash expenses incurred by the hotels due to the straight lining of the rent from ground lease obligations and the non-cash amortization of intangible assets and liabilities.</w:t>
      </w:r>
    </w:p>
    <w:p>
      <w:pPr>
        <w:pStyle w:val="TextBody"/>
        <w:bidi w:val="0"/>
        <w:spacing w:lineRule="auto" w:line="288" w:before="0" w:after="0"/>
        <w:ind w:left="0" w:right="0" w:firstLine="720"/>
        <w:jc w:val="left"/>
        <w:rPr/>
      </w:pPr>
      <w:r>
        <w:rPr>
          <w:rFonts w:ascii="Lato;sans-serif" w:hAnsi="Lato;sans-serif"/>
          <w:b w:val="false"/>
          <w:color w:val="000000"/>
          <w:sz w:val="10"/>
        </w:rPr>
        <w:t>(3)</w:t>
      </w:r>
      <w:r>
        <w:rPr>
          <w:color w:val="000000"/>
        </w:rPr>
        <w:t xml:space="preserve"> </w:t>
      </w:r>
      <w:r>
        <w:rPr>
          <w:rFonts w:ascii="Lato;sans-serif" w:hAnsi="Lato;sans-serif"/>
          <w:b w:val="false"/>
          <w:color w:val="000000"/>
          <w:sz w:val="16"/>
        </w:rPr>
        <w:t>During the fourth quarter 2025, Orchards Inn Sedona and L'Auberge de Sedona were combined and now operate as one hotel. Amounts presented have been adjusted to reflect the combination.</w:t>
      </w:r>
    </w:p>
    <w:p>
      <w:pPr>
        <w:pStyle w:val="TextBody"/>
        <w:bidi w:val="0"/>
        <w:spacing w:lineRule="auto" w:line="288"/>
        <w:ind w:left="0" w:right="0" w:firstLine="720"/>
        <w:jc w:val="left"/>
        <w:rPr/>
      </w:pPr>
      <w:r>
        <w:rPr>
          <w:rFonts w:ascii="Lato;sans-serif" w:hAnsi="Lato;sans-serif"/>
          <w:b w:val="false"/>
          <w:color w:val="000000"/>
          <w:sz w:val="10"/>
        </w:rPr>
        <w:t xml:space="preserve">(4) </w:t>
      </w:r>
      <w:r>
        <w:rPr>
          <w:rFonts w:ascii="Lato;sans-serif" w:hAnsi="Lato;sans-serif"/>
          <w:b w:val="false"/>
          <w:color w:val="000000"/>
          <w:sz w:val="16"/>
        </w:rPr>
        <w:t>Represents the operating results of the Courtyard New York Manhattan/Fifth Avenue sold in 2026.</w:t>
      </w:r>
      <w:r>
        <w:rPr>
          <w:color w:val="FFFFFF"/>
        </w:rPr>
        <w:t xml:space="preserve"> </w:t>
      </w:r>
    </w:p>
    <w:p>
      <w:pPr>
        <w:pStyle w:val="TextBody"/>
        <w:bidi w:val="0"/>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506095"/>
                <wp:effectExtent l="0" t="0" r="0" b="0"/>
                <wp:wrapNone/>
                <wp:docPr id="23" name="Frame22"/>
                <a:graphic xmlns:a="http://schemas.openxmlformats.org/drawingml/2006/main">
                  <a:graphicData uri="http://schemas.microsoft.com/office/word/2010/wordprocessingShape">
                    <wps:wsp>
                      <wps:cNvSpPr txBox="1"/>
                      <wps:spPr>
                        <a:xfrm>
                          <a:off x="0" y="0"/>
                          <a:ext cx="6480175" cy="506095"/>
                        </a:xfrm>
                        <a:prstGeom prst="rect"/>
                        <a:solidFill>
                          <a:srgbClr val="FFFFFF"/>
                        </a:solidFill>
                      </wps:spPr>
                      <wps:txb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19</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19</w:t>
                      </w:r>
                    </w:p>
                    <w:p>
                      <w:pPr>
                        <w:pStyle w:val="TextBody"/>
                        <w:bidi w:val="0"/>
                        <w:spacing w:before="0" w:after="200"/>
                        <w:jc w:val="left"/>
                        <w:rPr/>
                      </w:pPr>
                      <w:r>
                        <w:rPr/>
                      </w:r>
                    </w:p>
                  </w:txbxContent>
                </v:textbox>
                <w10:wrap type="none"/>
              </v:rect>
            </w:pict>
          </mc:Fallback>
        </mc:AlternateContent>
      </w:r>
    </w:p>
    <w:p>
      <w:pPr>
        <w:pStyle w:val="Normal"/>
        <w:bidi w:val="0"/>
        <w:spacing w:before="0" w:after="0"/>
        <w:ind w:left="0" w:right="0" w:hanging="360"/>
        <w:jc w:val="left"/>
        <w:rPr>
          <w:sz w:val="4"/>
          <w:szCs w:val="4"/>
        </w:rPr>
      </w:pPr>
      <w:r>
        <w:rPr>
          <w:sz w:val="4"/>
          <w:szCs w:val="4"/>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506095"/>
                <wp:effectExtent l="0" t="0" r="0" b="0"/>
                <wp:wrapNone/>
                <wp:docPr id="24" name="Frame23"/>
                <a:graphic xmlns:a="http://schemas.openxmlformats.org/drawingml/2006/main">
                  <a:graphicData uri="http://schemas.microsoft.com/office/word/2010/wordprocessingShape">
                    <wps:wsp>
                      <wps:cNvSpPr txBox="1"/>
                      <wps:spPr>
                        <a:xfrm>
                          <a:off x="0" y="0"/>
                          <a:ext cx="6480175" cy="506095"/>
                        </a:xfrm>
                        <a:prstGeom prst="rect"/>
                        <a:solidFill>
                          <a:srgbClr val="FFFFFF"/>
                        </a:solidFill>
                      </wps:spPr>
                      <wps:txb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20</w:t>
                            </w:r>
                            <w:r>
                              <w:br w:type="page"/>
                            </w:r>
                          </w:p>
                          <w:p>
                            <w:pPr>
                              <w:pStyle w:val="TextBody"/>
                              <w:bidi w:val="0"/>
                              <w:spacing w:before="0" w:after="20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39.8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31" w:before="0" w:after="200"/>
                        <w:jc w:val="center"/>
                        <w:rPr>
                          <w:rFonts w:ascii="Lato;sans-serif" w:hAnsi="Lato;sans-serif"/>
                          <w:b w:val="false"/>
                          <w:color w:val="000000"/>
                          <w:sz w:val="20"/>
                        </w:rPr>
                      </w:pPr>
                      <w:r>
                        <w:rPr>
                          <w:rFonts w:ascii="Lato;sans-serif" w:hAnsi="Lato;sans-serif"/>
                          <w:b w:val="false"/>
                          <w:color w:val="000000"/>
                          <w:sz w:val="20"/>
                        </w:rPr>
                        <w:t>20</w:t>
                      </w:r>
                    </w:p>
                    <w:p>
                      <w:pPr>
                        <w:pStyle w:val="TextBody"/>
                        <w:bidi w:val="0"/>
                        <w:spacing w:before="0" w:after="200"/>
                        <w:jc w:val="left"/>
                        <w:rPr/>
                      </w:pPr>
                      <w:r>
                        <w:rPr/>
                      </w:r>
                    </w:p>
                  </w:txbxContent>
                </v:textbox>
                <w10:wrap type="none"/>
              </v:rect>
            </w:pict>
          </mc:Fallback>
        </mc:AlternateContent>
      </w:r>
    </w:p>
    <w:tbl>
      <w:tblPr>
        <w:tblW w:w="10436" w:type="dxa"/>
        <w:jc w:val="left"/>
        <w:tblInd w:w="0" w:type="dxa"/>
        <w:tblLayout w:type="fixed"/>
        <w:tblCellMar>
          <w:top w:w="28" w:type="dxa"/>
          <w:left w:w="28" w:type="dxa"/>
          <w:bottom w:w="28" w:type="dxa"/>
          <w:right w:w="28" w:type="dxa"/>
        </w:tblCellMar>
      </w:tblPr>
      <w:tblGrid>
        <w:gridCol w:w="567"/>
        <w:gridCol w:w="354"/>
        <w:gridCol w:w="355"/>
        <w:gridCol w:w="109"/>
        <w:gridCol w:w="109"/>
        <w:gridCol w:w="109"/>
        <w:gridCol w:w="991"/>
        <w:gridCol w:w="211"/>
        <w:gridCol w:w="826"/>
        <w:gridCol w:w="109"/>
        <w:gridCol w:w="430"/>
        <w:gridCol w:w="430"/>
        <w:gridCol w:w="431"/>
        <w:gridCol w:w="211"/>
        <w:gridCol w:w="721"/>
        <w:gridCol w:w="109"/>
        <w:gridCol w:w="211"/>
        <w:gridCol w:w="721"/>
        <w:gridCol w:w="109"/>
        <w:gridCol w:w="291"/>
        <w:gridCol w:w="849"/>
        <w:gridCol w:w="151"/>
        <w:gridCol w:w="213"/>
        <w:gridCol w:w="622"/>
        <w:gridCol w:w="111"/>
        <w:gridCol w:w="211"/>
        <w:gridCol w:w="721"/>
        <w:gridCol w:w="154"/>
      </w:tblGrid>
      <w:tr>
        <w:trPr/>
        <w:tc>
          <w:tcPr>
            <w:tcW w:w="567"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0"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849"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7842"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 Black;sans-serif" w:hAnsi="Lato Black;sans-serif"/>
                <w:b/>
                <w:color w:val="000000"/>
                <w:sz w:val="16"/>
              </w:rPr>
            </w:pPr>
            <w:r>
              <w:rPr>
                <w:rFonts w:ascii="Lato Black;sans-serif" w:hAnsi="Lato Black;sans-serif"/>
                <w:b/>
                <w:color w:val="000000"/>
                <w:sz w:val="16"/>
              </w:rPr>
              <w:t>Hotel Adjusted EBITDA Reconciliation - Second Quarter 2025</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Net Income (Loss)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w:t>
            </w:r>
          </w:p>
        </w:tc>
        <w:tc>
          <w:tcPr>
            <w:tcW w:w="12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w:t>
            </w:r>
          </w:p>
        </w:tc>
        <w:tc>
          <w:tcPr>
            <w:tcW w:w="9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w:t>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Equals: Hotel</w:t>
            </w:r>
          </w:p>
        </w:tc>
      </w:tr>
      <w:tr>
        <w:trPr/>
        <w:tc>
          <w:tcPr>
            <w:tcW w:w="127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Total Revenues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Depreciation</w:t>
            </w:r>
          </w:p>
        </w:tc>
        <w:tc>
          <w:tcPr>
            <w:tcW w:w="104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 xml:space="preserve">Interest Expense </w:t>
            </w:r>
            <w:r>
              <w:rPr>
                <w:rFonts w:ascii="Lato;sans-serif" w:hAnsi="Lato;sans-serif"/>
                <w:b/>
                <w:color w:val="000000"/>
                <w:sz w:val="10"/>
              </w:rPr>
              <w:t>(1)</w:t>
            </w:r>
          </w:p>
        </w:tc>
        <w:tc>
          <w:tcPr>
            <w:tcW w:w="1291"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Adjustments</w:t>
            </w:r>
            <w:r>
              <w:rPr>
                <w:color w:val="000000"/>
              </w:rPr>
              <w:t xml:space="preserve"> </w:t>
            </w:r>
            <w:r>
              <w:rPr>
                <w:rFonts w:ascii="Lato;sans-serif" w:hAnsi="Lato;sans-serif"/>
                <w:b/>
                <w:color w:val="000000"/>
                <w:sz w:val="10"/>
              </w:rPr>
              <w:t>(2)</w:t>
            </w:r>
          </w:p>
        </w:tc>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Adjusted EBITDA</w:t>
            </w:r>
          </w:p>
        </w:tc>
        <w:tc>
          <w:tcPr>
            <w:tcW w:w="1086" w:type="dxa"/>
            <w:gridSpan w:val="3"/>
            <w:tcBorders/>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AC Hotel Minneapolis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853 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Atlanta Marriott Alpharetta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1,648 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Bourbon Orleans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1,620 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Cavallo Point, The Lodge at the Golden Gate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12,513 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3,843 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Chicago Marriott Downtown Magnificent Mile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37,909 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8,420 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(399)</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11,075 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Chico Hot Springs Resort &amp; Day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3,681 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441 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776 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Denver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3,480 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1,154 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1,540 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Manhattan/Fifth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282 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Manhattan/Midtown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Embassy Suites by Hilton Bethesda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4,120 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(988)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Havana Cabana Key West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758 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Henderson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14,895 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5,144 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Henderson Park Inn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Hilton Garden Inn New York/Times Square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2,750 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Hotel Champlain Burlington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5,362 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1,082 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Clio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8,328 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600 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2,399 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Emblem 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Hotel Palomar Phoenix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1,153 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Shorebreak Fort Lauderdale Beach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300 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Kimpton Shorebreak Huntington Beach Resort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 xml:space="preserve">L'Auberge de Sedona </w:t>
            </w:r>
            <w:r>
              <w:rPr>
                <w:rFonts w:ascii="Lato;sans-serif" w:hAnsi="Lato;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10,607 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2,422 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42 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3,228 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Lake Austin Spa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1,348 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Margaritaville Beach House Key West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7,633 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3,238 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Salt Lake City Marriott Downtown at City Creek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9,680 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2,690 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3,763 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Dagny 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11,660 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4,943 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Gwen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12,108 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3,815 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Hythe Vail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6,013 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(206)</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Landing Lake Tahoe Resort &amp; Spa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873 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Lindy Renaissance Charleston Hotel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7,049 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3,535 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Lodge at Sonoma Resort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8,812 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3,259 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Tranquility Bay Beachfront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5,897 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Boston Seaport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29,725 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1,884 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(122)</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9,223 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Westin Fort Lauderdale Beach Resort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16,484 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3,285 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San Diego Bayview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10,600 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Worthington Renaissance Fort Worth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13,574 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263 </w:t>
            </w:r>
          </w:p>
        </w:tc>
        <w:tc>
          <w:tcPr>
            <w:tcW w:w="15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4,465 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305,720 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62,720 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28,156 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3,035 </w:t>
            </w:r>
          </w:p>
        </w:tc>
        <w:tc>
          <w:tcPr>
            <w:tcW w:w="15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1,470 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95,360 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 xml:space="preserve">Less: Sold Hotel </w:t>
            </w:r>
            <w:r>
              <w:rPr>
                <w:rFonts w:ascii="Lato;sans-serif" w:hAnsi="Lato;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(5,721)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(282)</w:t>
            </w:r>
          </w:p>
        </w:tc>
        <w:tc>
          <w:tcPr>
            <w:tcW w:w="15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(206)</w:t>
            </w:r>
          </w:p>
        </w:tc>
        <w:tc>
          <w:tcPr>
            <w:tcW w:w="1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(1,784)</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Comparable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299,999 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61,768 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27,812 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4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2,753 </w:t>
            </w:r>
          </w:p>
        </w:tc>
        <w:tc>
          <w:tcPr>
            <w:tcW w:w="1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2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1,264 </w:t>
            </w:r>
          </w:p>
        </w:tc>
        <w:tc>
          <w:tcPr>
            <w:tcW w:w="1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93,576 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r>
        <w:trPr/>
        <w:tc>
          <w:tcPr>
            <w:tcW w:w="12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946" w:type="dxa"/>
            <w:gridSpan w:val="3"/>
            <w:tcBorders/>
            <w:vAlign w:val="center"/>
          </w:tcPr>
          <w:p>
            <w:pPr>
              <w:pStyle w:val="TableContents"/>
              <w:bidi w:val="0"/>
              <w:spacing w:before="0" w:after="283"/>
              <w:jc w:val="left"/>
              <w:rPr>
                <w:sz w:val="4"/>
                <w:szCs w:val="4"/>
              </w:rPr>
            </w:pPr>
            <w:r>
              <w:rPr>
                <w:sz w:val="4"/>
                <w:szCs w:val="4"/>
              </w:rPr>
            </w:r>
          </w:p>
        </w:tc>
        <w:tc>
          <w:tcPr>
            <w:tcW w:w="108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Lato;sans-serif" w:hAnsi="Lato;sans-serif"/>
          <w:b w:val="false"/>
          <w:color w:val="000000"/>
          <w:sz w:val="10"/>
        </w:rPr>
        <w:t xml:space="preserve">(1) </w:t>
      </w:r>
      <w:r>
        <w:rPr>
          <w:rFonts w:ascii="Lato;sans-serif" w:hAnsi="Lato;sans-serif"/>
          <w:b w:val="false"/>
          <w:color w:val="000000"/>
          <w:sz w:val="16"/>
        </w:rPr>
        <w:t>Includes cash ground rent expense for Courtyard New York Manhattan/Fifth Avenue that is classified as interest expense as it is a financing lease for GAAP purposes.</w:t>
      </w:r>
    </w:p>
    <w:p>
      <w:pPr>
        <w:pStyle w:val="TextBody"/>
        <w:bidi w:val="0"/>
        <w:spacing w:lineRule="auto" w:line="288" w:before="0" w:after="0"/>
        <w:jc w:val="left"/>
        <w:rPr/>
      </w:pPr>
      <w:r>
        <w:rPr>
          <w:rFonts w:ascii="Lato;sans-serif" w:hAnsi="Lato;sans-serif"/>
          <w:b w:val="false"/>
          <w:color w:val="000000"/>
          <w:sz w:val="10"/>
        </w:rPr>
        <w:t xml:space="preserve">(2) </w:t>
      </w:r>
      <w:r>
        <w:rPr>
          <w:rFonts w:ascii="Lato;sans-serif" w:hAnsi="Lato;sans-serif"/>
          <w:b w:val="false"/>
          <w:color w:val="000000"/>
          <w:sz w:val="16"/>
        </w:rPr>
        <w:t>Includes non-cash expenses incurred by the hotels due to the straight lining of the rent from ground lease obligations and the non-cash amortization of intangible assets and liabilities.</w:t>
      </w:r>
      <w:r>
        <w:rPr>
          <w:color w:val="000000"/>
        </w:rPr>
        <w:t xml:space="preserve"> </w:t>
      </w:r>
    </w:p>
    <w:p>
      <w:pPr>
        <w:pStyle w:val="TextBody"/>
        <w:bidi w:val="0"/>
        <w:spacing w:lineRule="auto" w:line="288" w:before="0" w:after="0"/>
        <w:jc w:val="left"/>
        <w:rPr/>
      </w:pPr>
      <w:r>
        <w:rPr>
          <w:rFonts w:ascii="Lato;sans-serif" w:hAnsi="Lato;sans-serif"/>
          <w:b w:val="false"/>
          <w:color w:val="000000"/>
          <w:sz w:val="10"/>
        </w:rPr>
        <w:t>(3)</w:t>
      </w:r>
      <w:r>
        <w:rPr>
          <w:color w:val="000000"/>
        </w:rPr>
        <w:t xml:space="preserve"> </w:t>
      </w:r>
      <w:r>
        <w:rPr>
          <w:rFonts w:ascii="Lato;sans-serif" w:hAnsi="Lato;sans-serif"/>
          <w:b w:val="false"/>
          <w:color w:val="000000"/>
          <w:sz w:val="16"/>
        </w:rPr>
        <w:t>During the fourth quarter 2025, Orchards Inn Sedona and L'Auberge de Sedona were combined and now operate as one hotel. Amounts presented have been adjusted to reflect the combination.</w:t>
      </w:r>
    </w:p>
    <w:p>
      <w:pPr>
        <w:pStyle w:val="TextBody"/>
        <w:bidi w:val="0"/>
        <w:spacing w:lineRule="auto" w:line="288" w:before="0" w:after="0"/>
        <w:jc w:val="left"/>
        <w:rPr/>
      </w:pPr>
      <w:r>
        <w:rPr>
          <w:rFonts w:ascii="Lato;sans-serif" w:hAnsi="Lato;sans-serif"/>
          <w:b w:val="false"/>
          <w:color w:val="000000"/>
          <w:sz w:val="10"/>
        </w:rPr>
        <w:t xml:space="preserve">(4) </w:t>
      </w:r>
      <w:r>
        <w:rPr>
          <w:rFonts w:ascii="Lato;sans-serif" w:hAnsi="Lato;sans-serif"/>
          <w:b w:val="false"/>
          <w:color w:val="000000"/>
          <w:sz w:val="16"/>
        </w:rPr>
        <w:t>Represents the operating result of the Courtyard New York Manhattan/Fifth Avenue sold in 2026.</w:t>
      </w:r>
    </w:p>
    <w:p>
      <w:pPr>
        <w:pStyle w:val="TextBody"/>
        <w:bidi w:val="0"/>
        <w:spacing w:before="0" w:after="0"/>
        <w:jc w:val="left"/>
        <w:rPr/>
      </w:pPr>
      <w:r>
        <w:rPr/>
      </w:r>
    </w:p>
    <w:p>
      <w:pPr>
        <w:pStyle w:val="TextBody"/>
        <w:bidi w:val="0"/>
        <w:jc w:val="left"/>
        <w:rPr/>
      </w:pPr>
      <w:r>
        <w:rPr/>
      </w:r>
    </w:p>
    <w:tbl>
      <w:tblPr>
        <w:tblW w:w="10205" w:type="dxa"/>
        <w:jc w:val="left"/>
        <w:tblInd w:w="0" w:type="dxa"/>
        <w:tblLayout w:type="fixed"/>
        <w:tblCellMar>
          <w:top w:w="28" w:type="dxa"/>
          <w:left w:w="28" w:type="dxa"/>
          <w:bottom w:w="28" w:type="dxa"/>
          <w:right w:w="28" w:type="dxa"/>
        </w:tblCellMar>
      </w:tblPr>
      <w:tblGrid>
        <w:gridCol w:w="763"/>
        <w:gridCol w:w="555"/>
        <w:gridCol w:w="556"/>
        <w:gridCol w:w="109"/>
        <w:gridCol w:w="109"/>
        <w:gridCol w:w="109"/>
        <w:gridCol w:w="109"/>
        <w:gridCol w:w="224"/>
        <w:gridCol w:w="879"/>
        <w:gridCol w:w="115"/>
        <w:gridCol w:w="109"/>
        <w:gridCol w:w="109"/>
        <w:gridCol w:w="109"/>
        <w:gridCol w:w="234"/>
        <w:gridCol w:w="917"/>
        <w:gridCol w:w="121"/>
        <w:gridCol w:w="241"/>
        <w:gridCol w:w="824"/>
        <w:gridCol w:w="124"/>
        <w:gridCol w:w="309"/>
        <w:gridCol w:w="711"/>
        <w:gridCol w:w="160"/>
        <w:gridCol w:w="259"/>
        <w:gridCol w:w="756"/>
        <w:gridCol w:w="133"/>
        <w:gridCol w:w="274"/>
        <w:gridCol w:w="1075"/>
        <w:gridCol w:w="212"/>
      </w:tblGrid>
      <w:tr>
        <w:trPr/>
        <w:tc>
          <w:tcPr>
            <w:tcW w:w="763"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11"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756"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895"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 Black;sans-serif" w:hAnsi="Lato Black;sans-serif"/>
                <w:b/>
                <w:color w:val="000000"/>
                <w:sz w:val="16"/>
              </w:rPr>
            </w:pPr>
            <w:r>
              <w:rPr>
                <w:rFonts w:ascii="Lato Black;sans-serif" w:hAnsi="Lato Black;sans-serif"/>
                <w:b/>
                <w:color w:val="000000"/>
                <w:sz w:val="16"/>
              </w:rPr>
              <w:t>Hotel Adjusted EBITDA Reconciliation - Year to Date 2026</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Total Revenues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Net Income (Loss)</w:t>
            </w:r>
          </w:p>
        </w:tc>
        <w:tc>
          <w:tcPr>
            <w:tcW w:w="118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 Depreciation</w:t>
            </w:r>
          </w:p>
        </w:tc>
        <w:tc>
          <w:tcPr>
            <w:tcW w:w="118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 xml:space="preserve">Plus: Interest Expense </w:t>
            </w:r>
            <w:r>
              <w:rPr>
                <w:rFonts w:ascii="Lato;sans-serif" w:hAnsi="Lato;sans-serif"/>
                <w:b/>
                <w:color w:val="000000"/>
                <w:sz w:val="10"/>
              </w:rPr>
              <w:t>(1)</w:t>
            </w:r>
          </w:p>
        </w:tc>
        <w:tc>
          <w:tcPr>
            <w:tcW w:w="114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 xml:space="preserve">Plus: Adjustments </w:t>
            </w:r>
            <w:r>
              <w:rPr>
                <w:rFonts w:ascii="Lato;sans-serif" w:hAnsi="Lato;sans-serif"/>
                <w:b/>
                <w:color w:val="000000"/>
                <w:sz w:val="10"/>
              </w:rPr>
              <w:t>(2)</w:t>
            </w:r>
          </w:p>
        </w:tc>
        <w:tc>
          <w:tcPr>
            <w:tcW w:w="156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Equals: Hotel Adjusted EBITDA</w:t>
            </w:r>
          </w:p>
        </w:tc>
      </w:tr>
      <w:tr>
        <w:trPr/>
        <w:tc>
          <w:tcPr>
            <w:tcW w:w="18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272"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8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4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56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AC Hotel Minneapolis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4,436 </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239 </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626 </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865 </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Atlanta Marriott Alpharetta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9,389 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2,966 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801 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3,767 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Bourbon Orleans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10,049 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1,907 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2,377 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4,290 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Cavallo Point, The Lodge at the Golden Gate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27,973 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5,399 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3,100 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8,686 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Chicago Marriott Downtown Magnificent Mile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58,126 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13,817 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6,191 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(795)</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19,226 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Chico Hot Springs Resort &amp; Day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5,987 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(770)</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Denver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6,132 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1,939 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799 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2,738 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Manhattan/Fifth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5,533 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377 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280 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786 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Manhattan/Midtown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15,167 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1,657 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1,380 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3,037 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Embassy Suites by Hilton Bethesda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6,964 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(2,795)</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923 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2,859 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987 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Havana Cabana Key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6,086 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1,213 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1,787 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Henderson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22,904 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4,156 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2,296 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6,452 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Henderson Park Inn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4,664 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604 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2,164 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Hilton Garden Inn New York/Times Square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12,600 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1,124 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1,576 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2,700 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Champlain Burlington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8,040 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(794)</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1,622 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828 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Clio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14,846 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1,497 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3,912 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Emblem 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3,846 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387 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1,047 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Hotel Palomar Phoenix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14,888 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2,765 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1,424 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4,564 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Shorebreak Fort Lauderdale Beach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6,284 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Shorebreak Huntington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9,976 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2,029 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703 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2,732 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 xml:space="preserve">L'Auberge de Sedona </w:t>
            </w:r>
            <w:r>
              <w:rPr>
                <w:rFonts w:ascii="Lato;sans-serif" w:hAnsi="Lato;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26,409 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8,119 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2,350 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84 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10,553 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Lake Austin Spa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10,306 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1,489 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1,458 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2,947 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Margaritaville Beach House Key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17,507 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7,115 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1,542 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8,657 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Salt Lake City Marriott Downtown at City Creek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20,208 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5,795 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7,976 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Dagny 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19,844 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3,910 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7,103 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Gwen</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19,028 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2,788 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1,529 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4,317 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Hythe Vail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25,874 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8,879 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1,551 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10,430 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Landing Lake Tahoe Resort &amp;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5,444 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336 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722 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1,058 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Lindy Renaissance Charleston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13,023 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5,560 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739 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6,299 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Lodge at Sonoma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14,918 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3,215 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1,005 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4,220 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Tranquility Bay Beachfront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11,717 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2,732 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965 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3,697 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Boston Seaport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53,806 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8,314 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4,570 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(495)</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12,389 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Fort Lauderdale Beach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37,490 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10,927 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1,976 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12,903 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San Diego Bayview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21,116 </w:t>
            </w:r>
          </w:p>
        </w:tc>
        <w:tc>
          <w:tcPr>
            <w:tcW w:w="1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4,070 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2,719 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6,789 </w:t>
            </w:r>
          </w:p>
        </w:tc>
        <w:tc>
          <w:tcPr>
            <w:tcW w:w="21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Worthington Renaissance Fort Worth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25,868 </w:t>
            </w:r>
          </w:p>
        </w:tc>
        <w:tc>
          <w:tcPr>
            <w:tcW w:w="11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6,243 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1,918 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8,161 </w:t>
            </w:r>
          </w:p>
        </w:tc>
        <w:tc>
          <w:tcPr>
            <w:tcW w:w="21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 xml:space="preserve">Total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576,448 </w:t>
            </w:r>
          </w:p>
        </w:tc>
        <w:tc>
          <w:tcPr>
            <w:tcW w:w="11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119,908 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57,082 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390 </w:t>
            </w:r>
          </w:p>
        </w:tc>
        <w:tc>
          <w:tcPr>
            <w:tcW w:w="16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2,523 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179,879 </w:t>
            </w:r>
          </w:p>
        </w:tc>
        <w:tc>
          <w:tcPr>
            <w:tcW w:w="21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1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72"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180" w:type="dxa"/>
            <w:gridSpan w:val="3"/>
            <w:tcBorders/>
            <w:vAlign w:val="center"/>
          </w:tcPr>
          <w:p>
            <w:pPr>
              <w:pStyle w:val="TableContents"/>
              <w:bidi w:val="0"/>
              <w:spacing w:before="0" w:after="283"/>
              <w:jc w:val="left"/>
              <w:rPr>
                <w:sz w:val="4"/>
                <w:szCs w:val="4"/>
              </w:rPr>
            </w:pPr>
            <w:r>
              <w:rPr>
                <w:sz w:val="4"/>
                <w:szCs w:val="4"/>
              </w:rPr>
            </w:r>
          </w:p>
        </w:tc>
        <w:tc>
          <w:tcPr>
            <w:tcW w:w="1148" w:type="dxa"/>
            <w:gridSpan w:val="3"/>
            <w:tcBorders/>
            <w:vAlign w:val="center"/>
          </w:tcPr>
          <w:p>
            <w:pPr>
              <w:pStyle w:val="TableContents"/>
              <w:bidi w:val="0"/>
              <w:spacing w:before="0" w:after="283"/>
              <w:jc w:val="left"/>
              <w:rPr>
                <w:sz w:val="4"/>
                <w:szCs w:val="4"/>
              </w:rPr>
            </w:pPr>
            <w:r>
              <w:rPr>
                <w:sz w:val="4"/>
                <w:szCs w:val="4"/>
              </w:rPr>
            </w:r>
          </w:p>
        </w:tc>
        <w:tc>
          <w:tcPr>
            <w:tcW w:w="1561" w:type="dxa"/>
            <w:gridSpan w:val="3"/>
            <w:tcBorders/>
            <w:vAlign w:val="center"/>
          </w:tcPr>
          <w:p>
            <w:pPr>
              <w:pStyle w:val="TableContents"/>
              <w:bidi w:val="0"/>
              <w:spacing w:before="0" w:after="283"/>
              <w:jc w:val="left"/>
              <w:rPr>
                <w:sz w:val="4"/>
                <w:szCs w:val="4"/>
              </w:rPr>
            </w:pPr>
            <w:r>
              <w:rPr>
                <w:sz w:val="4"/>
                <w:szCs w:val="4"/>
              </w:rPr>
            </w:r>
          </w:p>
        </w:tc>
      </w:tr>
      <w:tr>
        <w:trPr/>
        <w:tc>
          <w:tcPr>
            <w:tcW w:w="187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 xml:space="preserve">Less: Sold Hotel </w:t>
            </w:r>
            <w:r>
              <w:rPr>
                <w:rFonts w:ascii="Lato;sans-serif" w:hAnsi="Lato;sans-serif"/>
                <w:b w:val="false"/>
                <w:color w:val="000000"/>
                <w:sz w:val="10"/>
              </w:rPr>
              <w:t>(4)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(5,533)</w:t>
            </w:r>
          </w:p>
        </w:tc>
        <w:tc>
          <w:tcPr>
            <w:tcW w:w="11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(115)</w:t>
            </w:r>
          </w:p>
        </w:tc>
        <w:tc>
          <w:tcPr>
            <w:tcW w:w="1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(377)</w:t>
            </w:r>
          </w:p>
        </w:tc>
        <w:tc>
          <w:tcPr>
            <w:tcW w:w="1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(280)</w:t>
            </w:r>
          </w:p>
        </w:tc>
        <w:tc>
          <w:tcPr>
            <w:tcW w:w="1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(786)</w:t>
            </w:r>
          </w:p>
        </w:tc>
        <w:tc>
          <w:tcPr>
            <w:tcW w:w="21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Comparable 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7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570,915 </w:t>
            </w:r>
          </w:p>
        </w:tc>
        <w:tc>
          <w:tcPr>
            <w:tcW w:w="11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119,894 </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56,967 </w:t>
            </w:r>
          </w:p>
        </w:tc>
        <w:tc>
          <w:tcPr>
            <w:tcW w:w="1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13 </w:t>
            </w:r>
          </w:p>
        </w:tc>
        <w:tc>
          <w:tcPr>
            <w:tcW w:w="1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5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2,243 </w:t>
            </w:r>
          </w:p>
        </w:tc>
        <w:tc>
          <w:tcPr>
            <w:tcW w:w="1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7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107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179,093 </w:t>
            </w:r>
          </w:p>
        </w:tc>
        <w:tc>
          <w:tcPr>
            <w:tcW w:w="2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ind w:left="0" w:right="0" w:firstLine="900"/>
        <w:jc w:val="left"/>
        <w:rPr/>
      </w:pPr>
      <w:r>
        <w:rPr>
          <w:rFonts w:ascii="Lato;sans-serif" w:hAnsi="Lato;sans-serif"/>
          <w:b w:val="false"/>
          <w:color w:val="000000"/>
          <w:sz w:val="10"/>
        </w:rPr>
        <w:t xml:space="preserve">(1) </w:t>
      </w:r>
      <w:r>
        <w:rPr>
          <w:rFonts w:ascii="Lato;sans-serif" w:hAnsi="Lato;sans-serif"/>
          <w:b w:val="false"/>
          <w:color w:val="000000"/>
          <w:sz w:val="16"/>
        </w:rPr>
        <w:t>Includes cash ground rent expense for Courtyard New York Manhattan/Fifth Avenue that is classified as interest expense as it is a financing lease for GAAP purposes.</w:t>
      </w:r>
    </w:p>
    <w:p>
      <w:pPr>
        <w:pStyle w:val="TextBody"/>
        <w:bidi w:val="0"/>
        <w:spacing w:lineRule="auto" w:line="288" w:before="0" w:after="0"/>
        <w:ind w:left="0" w:right="0" w:firstLine="990"/>
        <w:jc w:val="left"/>
        <w:rPr/>
      </w:pPr>
      <w:r>
        <w:rPr>
          <w:rFonts w:ascii="Lato;sans-serif" w:hAnsi="Lato;sans-serif"/>
          <w:b w:val="false"/>
          <w:color w:val="000000"/>
          <w:sz w:val="10"/>
        </w:rPr>
        <w:t xml:space="preserve">(2) </w:t>
      </w:r>
      <w:r>
        <w:rPr>
          <w:rFonts w:ascii="Lato;sans-serif" w:hAnsi="Lato;sans-serif"/>
          <w:b w:val="false"/>
          <w:color w:val="000000"/>
          <w:sz w:val="16"/>
        </w:rPr>
        <w:t>Includes non-cash expenses incurred by the hotels due to the straight lining of the rent from ground lease obligations and the non-cash amortization of intangible assets and liabilities.</w:t>
      </w:r>
    </w:p>
    <w:p>
      <w:pPr>
        <w:pStyle w:val="TextBody"/>
        <w:bidi w:val="0"/>
        <w:spacing w:lineRule="auto" w:line="288" w:before="0" w:after="0"/>
        <w:ind w:left="0" w:right="0" w:firstLine="990"/>
        <w:jc w:val="left"/>
        <w:rPr/>
      </w:pPr>
      <w:r>
        <w:rPr>
          <w:rFonts w:ascii="Lato;sans-serif" w:hAnsi="Lato;sans-serif"/>
          <w:b w:val="false"/>
          <w:color w:val="000000"/>
          <w:sz w:val="10"/>
        </w:rPr>
        <w:t>(3)</w:t>
      </w:r>
      <w:r>
        <w:rPr>
          <w:color w:val="000000"/>
        </w:rPr>
        <w:t xml:space="preserve"> </w:t>
      </w:r>
      <w:r>
        <w:rPr>
          <w:rFonts w:ascii="Lato;sans-serif" w:hAnsi="Lato;sans-serif"/>
          <w:b w:val="false"/>
          <w:color w:val="000000"/>
          <w:sz w:val="16"/>
        </w:rPr>
        <w:t>During the fourth quarter 2025, Orchards Inn Sedona and L'Auberge de Sedona were combined and now operate as one hotel. Amounts presented have been adjusted to reflect the combination.</w:t>
      </w:r>
    </w:p>
    <w:p>
      <w:pPr>
        <w:pStyle w:val="TextBody"/>
        <w:bidi w:val="0"/>
        <w:spacing w:lineRule="auto" w:line="288"/>
        <w:ind w:left="0" w:right="0" w:firstLine="990"/>
        <w:jc w:val="left"/>
        <w:rPr/>
      </w:pPr>
      <w:r>
        <w:rPr>
          <w:rFonts w:ascii="Lato;sans-serif" w:hAnsi="Lato;sans-serif"/>
          <w:b w:val="false"/>
          <w:color w:val="000000"/>
          <w:sz w:val="10"/>
        </w:rPr>
        <w:t xml:space="preserve">(4) </w:t>
      </w:r>
      <w:r>
        <w:rPr>
          <w:rFonts w:ascii="Lato;sans-serif" w:hAnsi="Lato;sans-serif"/>
          <w:b w:val="false"/>
          <w:color w:val="000000"/>
          <w:sz w:val="16"/>
        </w:rPr>
        <w:t>Represents the operating results of the Courtyard New York Manhattan/Fifth Avenue sold in 2026.</w:t>
      </w:r>
      <w:r>
        <w:rPr>
          <w:color w:val="FFFFFF"/>
        </w:rPr>
        <w:t xml:space="preserve"> </w:t>
      </w:r>
    </w:p>
    <w:tbl>
      <w:tblPr>
        <w:tblW w:w="10205" w:type="dxa"/>
        <w:jc w:val="left"/>
        <w:tblInd w:w="0" w:type="dxa"/>
        <w:tblLayout w:type="fixed"/>
        <w:tblCellMar>
          <w:top w:w="28" w:type="dxa"/>
          <w:left w:w="28" w:type="dxa"/>
          <w:bottom w:w="28" w:type="dxa"/>
          <w:right w:w="28" w:type="dxa"/>
        </w:tblCellMar>
      </w:tblPr>
      <w:tblGrid>
        <w:gridCol w:w="671"/>
        <w:gridCol w:w="461"/>
        <w:gridCol w:w="462"/>
        <w:gridCol w:w="109"/>
        <w:gridCol w:w="109"/>
        <w:gridCol w:w="109"/>
        <w:gridCol w:w="1046"/>
        <w:gridCol w:w="211"/>
        <w:gridCol w:w="826"/>
        <w:gridCol w:w="109"/>
        <w:gridCol w:w="109"/>
        <w:gridCol w:w="109"/>
        <w:gridCol w:w="109"/>
        <w:gridCol w:w="226"/>
        <w:gridCol w:w="775"/>
        <w:gridCol w:w="117"/>
        <w:gridCol w:w="227"/>
        <w:gridCol w:w="776"/>
        <w:gridCol w:w="117"/>
        <w:gridCol w:w="245"/>
        <w:gridCol w:w="716"/>
        <w:gridCol w:w="126"/>
        <w:gridCol w:w="236"/>
        <w:gridCol w:w="691"/>
        <w:gridCol w:w="122"/>
        <w:gridCol w:w="244"/>
        <w:gridCol w:w="959"/>
        <w:gridCol w:w="188"/>
      </w:tblGrid>
      <w:tr>
        <w:trPr/>
        <w:tc>
          <w:tcPr>
            <w:tcW w:w="671" w:type="dxa"/>
            <w:tcBorders/>
            <w:vAlign w:val="center"/>
          </w:tcPr>
          <w:p>
            <w:pPr>
              <w:pStyle w:val="TableContents"/>
              <w:bidi w:val="0"/>
              <w:spacing w:before="0" w:after="283"/>
              <w:jc w:val="left"/>
              <w:rPr>
                <w:sz w:val="4"/>
                <w:szCs w:val="4"/>
              </w:rPr>
            </w:pPr>
            <w:r>
              <w:rPr>
                <w:sz w:val="4"/>
                <w:szCs w:val="4"/>
              </w:rPr>
            </w:r>
          </w:p>
        </w:tc>
        <w:tc>
          <w:tcPr>
            <w:tcW w:w="461"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775"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776"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7238"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Lato Black;sans-serif" w:hAnsi="Lato Black;sans-serif"/>
                <w:b/>
                <w:color w:val="000000"/>
                <w:sz w:val="16"/>
              </w:rPr>
            </w:pPr>
            <w:r>
              <w:rPr>
                <w:rFonts w:ascii="Lato Black;sans-serif" w:hAnsi="Lato Black;sans-serif"/>
                <w:b/>
                <w:color w:val="000000"/>
                <w:sz w:val="16"/>
              </w:rPr>
              <w:t>Hotel Adjusted EBITDA Reconciliation - Year to Date 2025</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Net Income (Loss)</w:t>
            </w:r>
          </w:p>
        </w:tc>
        <w:tc>
          <w:tcPr>
            <w:tcW w:w="1120"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Plus: Depreciation</w:t>
            </w:r>
          </w:p>
        </w:tc>
        <w:tc>
          <w:tcPr>
            <w:tcW w:w="1087"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 xml:space="preserve">Plus: Interest Expense </w:t>
            </w:r>
            <w:r>
              <w:rPr>
                <w:rFonts w:ascii="Lato;sans-serif" w:hAnsi="Lato;sans-serif"/>
                <w:b/>
                <w:color w:val="000000"/>
                <w:sz w:val="10"/>
              </w:rPr>
              <w:t>(1)</w:t>
            </w:r>
          </w:p>
        </w:tc>
        <w:tc>
          <w:tcPr>
            <w:tcW w:w="1049"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Lato;sans-serif" w:hAnsi="Lato;sans-serif"/>
                <w:b/>
                <w:color w:val="000000"/>
                <w:sz w:val="16"/>
              </w:rPr>
              <w:t xml:space="preserve">Plus: Adjustments </w:t>
            </w:r>
            <w:r>
              <w:rPr>
                <w:rFonts w:ascii="Lato;sans-serif" w:hAnsi="Lato;sans-serif"/>
                <w:b/>
                <w:color w:val="000000"/>
                <w:sz w:val="10"/>
              </w:rPr>
              <w:t>(2)</w:t>
            </w:r>
          </w:p>
        </w:tc>
        <w:tc>
          <w:tcPr>
            <w:tcW w:w="139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Equals: Hotel Adjusted EBITDA</w:t>
            </w:r>
          </w:p>
        </w:tc>
      </w:tr>
      <w:tr>
        <w:trPr/>
        <w:tc>
          <w:tcPr>
            <w:tcW w:w="1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tcMar>
              <w:top w:w="0" w:type="dxa"/>
              <w:left w:w="0" w:type="dxa"/>
              <w:bottom w:w="0" w:type="dxa"/>
              <w:right w:w="0" w:type="dxa"/>
            </w:tcMar>
            <w:vAlign w:val="center"/>
          </w:tcPr>
          <w:p>
            <w:pPr>
              <w:pStyle w:val="TableContents"/>
              <w:bidi w:val="0"/>
              <w:spacing w:lineRule="auto" w:line="240" w:before="0" w:after="283"/>
              <w:jc w:val="center"/>
              <w:rPr>
                <w:rFonts w:ascii="Lato;sans-serif" w:hAnsi="Lato;sans-serif"/>
                <w:b/>
                <w:color w:val="000000"/>
                <w:sz w:val="16"/>
              </w:rPr>
            </w:pPr>
            <w:r>
              <w:rPr>
                <w:rFonts w:ascii="Lato;sans-serif" w:hAnsi="Lato;sans-serif"/>
                <w:b/>
                <w:color w:val="000000"/>
                <w:sz w:val="16"/>
              </w:rPr>
              <w:t>Total Revenues</w:t>
            </w:r>
          </w:p>
        </w:tc>
        <w:tc>
          <w:tcPr>
            <w:tcW w:w="11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09" w:type="dxa"/>
            <w:tcBorders/>
          </w:tcPr>
          <w:p>
            <w:pPr>
              <w:pStyle w:val="TableContents"/>
              <w:bidi w:val="0"/>
              <w:spacing w:before="0" w:after="283"/>
              <w:jc w:val="left"/>
              <w:rPr>
                <w:sz w:val="4"/>
                <w:szCs w:val="4"/>
              </w:rPr>
            </w:pPr>
            <w:r>
              <w:rPr>
                <w:sz w:val="4"/>
                <w:szCs w:val="4"/>
              </w:rPr>
            </w:r>
          </w:p>
        </w:tc>
        <w:tc>
          <w:tcPr>
            <w:tcW w:w="1118"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120"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87"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049"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139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AC Hotel Minneapolis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4,151 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192 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595 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787 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Atlanta Marriott Alpharetta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9,131 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2,875 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741 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3,616 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Bourbon Orleans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9,493 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1,877 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4,049 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Cavallo Point, The Lodge at the Golden Gate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22,198 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2,939 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5,125 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Chicago Marriott Downtown Magnificent Mile</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55,024 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5,402 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6,158 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(793)</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10,779 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Chico Hot Springs Resort &amp; Day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6,981 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970 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Denver Downtown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1,285 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769 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2,054 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Manhattan/Fifth Avenue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567 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Courtyard New York Manhattan/Midtown East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16,401 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3,055 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1,066 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4,121 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Embassy Suites by Hilton Bethesda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6,705 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(2,959)</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2,889 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Havana Cabana Key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548 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2,434 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Henderson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21,486 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2,222 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5,320 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Henderson Park Inn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1,394 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1,945 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Hilton Garden Inn New York/Times Square Central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12,318 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886 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1,436 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2,322 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Champlain Burlington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8,315 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(919)</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1,562 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643 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Clio</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1,702 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1,200 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3,156 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Hotel Emblem San Francisco</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(245)</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586 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Hotel Palomar Phoenix</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13,033 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1,016 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3,809 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Shorebreak Fort Lauderdale Beach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6,192 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625 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740 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1,365 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Kimpton Shorebreak Huntington Beach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10,228 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680 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3,145 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 xml:space="preserve">L'Auberge de Sedona </w:t>
            </w:r>
            <w:r>
              <w:rPr>
                <w:rFonts w:ascii="Lato;sans-serif" w:hAnsi="Lato;sans-serif"/>
                <w:b w:val="false"/>
                <w:color w:val="000000"/>
                <w:sz w:val="10"/>
              </w:rPr>
              <w:t>(3)</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19,036 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3,893 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1,270 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84 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5,247 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Lake Austin Spa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10,570 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1,629 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3,064 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Margaritaville Beach House Key West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17,124 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6,430 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1,520 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7,950 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Salt Lake City Marriott Downtown at City Creek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18,734 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5,264 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7,395 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Dagny Boston</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3,126 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5,517 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 xml:space="preserve">The Gwen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18,221 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1,433 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1,511 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2,944 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Hythe Vail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28,208 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9,245 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2,310 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11,555 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Landing Lake Tahoe Resort &amp; Spa</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634 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1,080 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Lindy Renaissance Charleston Hotel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12,419 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5,091 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731 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5,822 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The Lodge at Sonoma Resort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14,678 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3,217 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971 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4,188 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Tranquility Bay Beachfront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3,453 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934 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4,387 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Boston Seaport District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50,822 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3,990 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4,604 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3,761 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(245)</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12,110 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Fort Lauderdale Beach Resort</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38,718 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9,501 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2,227 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11,728 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San Diego Bayview</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20,442 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3,435 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2,698 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6,133 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Westin Washington D.C. City Center</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3,077 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331 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331 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Worthington Renaissance Fort Worth Hotel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26,875 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5,862 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1,905 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940 </w:t>
            </w:r>
          </w:p>
        </w:tc>
        <w:tc>
          <w:tcPr>
            <w:tcW w:w="1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8,707 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 xml:space="preserve">Total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560,573 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91,588 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56,048 </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6,480 </w:t>
            </w:r>
          </w:p>
        </w:tc>
        <w:tc>
          <w:tcPr>
            <w:tcW w:w="1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2,945 </w:t>
            </w:r>
          </w:p>
        </w:tc>
        <w:tc>
          <w:tcPr>
            <w:tcW w:w="1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157,024 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8" w:type="dxa"/>
            <w:gridSpan w:val="3"/>
            <w:tcBorders/>
            <w:vAlign w:val="center"/>
          </w:tcPr>
          <w:p>
            <w:pPr>
              <w:pStyle w:val="TableContents"/>
              <w:bidi w:val="0"/>
              <w:spacing w:before="0" w:after="283"/>
              <w:jc w:val="left"/>
              <w:rPr>
                <w:sz w:val="4"/>
                <w:szCs w:val="4"/>
              </w:rPr>
            </w:pPr>
            <w:r>
              <w:rPr>
                <w:sz w:val="4"/>
                <w:szCs w:val="4"/>
              </w:rPr>
            </w:r>
          </w:p>
        </w:tc>
        <w:tc>
          <w:tcPr>
            <w:tcW w:w="1120" w:type="dxa"/>
            <w:gridSpan w:val="3"/>
            <w:tcBorders/>
            <w:vAlign w:val="center"/>
          </w:tcPr>
          <w:p>
            <w:pPr>
              <w:pStyle w:val="TableContents"/>
              <w:bidi w:val="0"/>
              <w:spacing w:before="0" w:after="283"/>
              <w:jc w:val="left"/>
              <w:rPr>
                <w:sz w:val="4"/>
                <w:szCs w:val="4"/>
              </w:rPr>
            </w:pPr>
            <w:r>
              <w:rPr>
                <w:sz w:val="4"/>
                <w:szCs w:val="4"/>
              </w:rPr>
            </w:r>
          </w:p>
        </w:tc>
        <w:tc>
          <w:tcPr>
            <w:tcW w:w="1087" w:type="dxa"/>
            <w:gridSpan w:val="3"/>
            <w:tcBorders/>
            <w:vAlign w:val="center"/>
          </w:tcPr>
          <w:p>
            <w:pPr>
              <w:pStyle w:val="TableContents"/>
              <w:bidi w:val="0"/>
              <w:spacing w:before="0" w:after="283"/>
              <w:jc w:val="left"/>
              <w:rPr>
                <w:sz w:val="4"/>
                <w:szCs w:val="4"/>
              </w:rPr>
            </w:pPr>
            <w:r>
              <w:rPr>
                <w:sz w:val="4"/>
                <w:szCs w:val="4"/>
              </w:rPr>
            </w:r>
          </w:p>
        </w:tc>
        <w:tc>
          <w:tcPr>
            <w:tcW w:w="1049" w:type="dxa"/>
            <w:gridSpan w:val="3"/>
            <w:tcBorders/>
            <w:vAlign w:val="center"/>
          </w:tcPr>
          <w:p>
            <w:pPr>
              <w:pStyle w:val="TableContents"/>
              <w:bidi w:val="0"/>
              <w:spacing w:before="0" w:after="283"/>
              <w:jc w:val="left"/>
              <w:rPr>
                <w:sz w:val="4"/>
                <w:szCs w:val="4"/>
              </w:rPr>
            </w:pPr>
            <w:r>
              <w:rPr>
                <w:sz w:val="4"/>
                <w:szCs w:val="4"/>
              </w:rPr>
            </w:r>
          </w:p>
        </w:tc>
        <w:tc>
          <w:tcPr>
            <w:tcW w:w="1391" w:type="dxa"/>
            <w:gridSpan w:val="3"/>
            <w:tcBorders/>
            <w:vAlign w:val="center"/>
          </w:tcPr>
          <w:p>
            <w:pPr>
              <w:pStyle w:val="TableContents"/>
              <w:bidi w:val="0"/>
              <w:spacing w:before="0" w:after="283"/>
              <w:jc w:val="left"/>
              <w:rPr>
                <w:sz w:val="4"/>
                <w:szCs w:val="4"/>
              </w:rPr>
            </w:pPr>
            <w:r>
              <w:rPr>
                <w:sz w:val="4"/>
                <w:szCs w:val="4"/>
              </w:rPr>
            </w:r>
          </w:p>
        </w:tc>
      </w:tr>
      <w:tr>
        <w:trPr/>
        <w:tc>
          <w:tcPr>
            <w:tcW w:w="159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Lato;sans-serif" w:hAnsi="Lato;sans-serif"/>
                <w:b w:val="false"/>
                <w:color w:val="000000"/>
                <w:sz w:val="16"/>
              </w:rPr>
              <w:t>Less: Sold Hotels</w:t>
            </w:r>
            <w:r>
              <w:rPr>
                <w:color w:val="000000"/>
              </w:rPr>
              <w:t xml:space="preserve"> </w:t>
            </w:r>
            <w:r>
              <w:rPr>
                <w:rFonts w:ascii="Lato;sans-serif" w:hAnsi="Lato;sans-serif"/>
                <w:b w:val="false"/>
                <w:color w:val="000000"/>
                <w:sz w:val="10"/>
              </w:rPr>
              <w:t>(4)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(12,481)</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(639)</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(686)</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(567)</w:t>
            </w:r>
          </w:p>
        </w:tc>
        <w:tc>
          <w:tcPr>
            <w:tcW w:w="12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(403)</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(2,295)</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Lato;sans-serif" w:hAnsi="Lato;sans-serif"/>
                <w:b/>
                <w:color w:val="000000"/>
                <w:sz w:val="16"/>
              </w:rPr>
            </w:pPr>
            <w:r>
              <w:rPr>
                <w:rFonts w:ascii="Lato;sans-serif" w:hAnsi="Lato;sans-serif"/>
                <w:b/>
                <w:color w:val="000000"/>
                <w:sz w:val="16"/>
              </w:rPr>
              <w:t>Comparable Total</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548,092 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90,949 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7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55,362 </w:t>
            </w:r>
          </w:p>
        </w:tc>
        <w:tc>
          <w:tcPr>
            <w:tcW w:w="11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7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5,913 </w:t>
            </w:r>
          </w:p>
        </w:tc>
        <w:tc>
          <w:tcPr>
            <w:tcW w:w="1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3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2,542 </w:t>
            </w:r>
          </w:p>
        </w:tc>
        <w:tc>
          <w:tcPr>
            <w:tcW w:w="12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Lato;sans-serif" w:hAnsi="Lato;sans-serif"/>
                <w:b w:val="false"/>
                <w:color w:val="000000"/>
                <w:sz w:val="16"/>
              </w:rPr>
            </w:pPr>
            <w:r>
              <w:rPr>
                <w:rFonts w:ascii="Lato;sans-serif" w:hAnsi="Lato;sans-serif"/>
                <w:b w:val="false"/>
                <w:color w:val="000000"/>
                <w:sz w:val="16"/>
              </w:rPr>
              <w:t>$</w:t>
            </w:r>
          </w:p>
        </w:tc>
        <w:tc>
          <w:tcPr>
            <w:tcW w:w="95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Lato;sans-serif" w:hAnsi="Lato;sans-serif"/>
                <w:b w:val="false"/>
                <w:color w:val="000000"/>
                <w:sz w:val="16"/>
              </w:rPr>
            </w:pPr>
            <w:r>
              <w:rPr>
                <w:rFonts w:ascii="Lato;sans-serif" w:hAnsi="Lato;sans-serif"/>
                <w:b w:val="false"/>
                <w:color w:val="000000"/>
                <w:sz w:val="16"/>
              </w:rPr>
              <w:t>154,729 </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Lato;sans-serif" w:hAnsi="Lato;sans-serif"/>
          <w:b w:val="false"/>
          <w:color w:val="000000"/>
          <w:sz w:val="10"/>
        </w:rPr>
        <w:t xml:space="preserve">(1) </w:t>
      </w:r>
      <w:r>
        <w:rPr>
          <w:rFonts w:ascii="Lato;sans-serif" w:hAnsi="Lato;sans-serif"/>
          <w:b w:val="false"/>
          <w:color w:val="000000"/>
          <w:sz w:val="16"/>
        </w:rPr>
        <w:t>Includes cash ground rent expense for Courtyard New York Manhattan/Fifth Avenue that is classified as interest expense as it is a financing lease for GAAP purposes.</w:t>
      </w:r>
    </w:p>
    <w:p>
      <w:pPr>
        <w:pStyle w:val="TextBody"/>
        <w:bidi w:val="0"/>
        <w:spacing w:lineRule="auto" w:line="288" w:before="0" w:after="0"/>
        <w:jc w:val="left"/>
        <w:rPr/>
      </w:pPr>
      <w:r>
        <w:rPr>
          <w:rFonts w:ascii="Lato;sans-serif" w:hAnsi="Lato;sans-serif"/>
          <w:b w:val="false"/>
          <w:color w:val="000000"/>
          <w:sz w:val="10"/>
        </w:rPr>
        <w:t xml:space="preserve">(2) </w:t>
      </w:r>
      <w:r>
        <w:rPr>
          <w:rFonts w:ascii="Lato;sans-serif" w:hAnsi="Lato;sans-serif"/>
          <w:b w:val="false"/>
          <w:color w:val="000000"/>
          <w:sz w:val="16"/>
        </w:rPr>
        <w:t>Includes non-cash expenses incurred by the hotels due to the straight lining of the rent from ground lease obligations and the non-cash amortization of intangible assets and liabilities.</w:t>
      </w:r>
      <w:r>
        <w:rPr>
          <w:color w:val="000000"/>
        </w:rPr>
        <w:t xml:space="preserve"> </w:t>
      </w:r>
    </w:p>
    <w:p>
      <w:pPr>
        <w:pStyle w:val="TextBody"/>
        <w:bidi w:val="0"/>
        <w:spacing w:lineRule="auto" w:line="288" w:before="0" w:after="0"/>
        <w:jc w:val="left"/>
        <w:rPr/>
      </w:pPr>
      <w:r>
        <w:rPr>
          <w:rFonts w:ascii="Lato;sans-serif" w:hAnsi="Lato;sans-serif"/>
          <w:b w:val="false"/>
          <w:color w:val="000000"/>
          <w:sz w:val="10"/>
        </w:rPr>
        <w:t>(3)</w:t>
      </w:r>
      <w:r>
        <w:rPr>
          <w:color w:val="000000"/>
        </w:rPr>
        <w:t xml:space="preserve"> </w:t>
      </w:r>
      <w:r>
        <w:rPr>
          <w:rFonts w:ascii="Lato;sans-serif" w:hAnsi="Lato;sans-serif"/>
          <w:b w:val="false"/>
          <w:color w:val="000000"/>
          <w:sz w:val="16"/>
        </w:rPr>
        <w:t>During the fourth quarter 2025, Orchards Inn Sedona and L'Auberge de Sedona were combined and now operate as one hotel. Amounts presented have been adjusted to reflect the combination.</w:t>
      </w:r>
    </w:p>
    <w:p>
      <w:pPr>
        <w:pStyle w:val="TextBody"/>
        <w:bidi w:val="0"/>
        <w:spacing w:lineRule="auto" w:line="288" w:before="0" w:after="283"/>
        <w:jc w:val="left"/>
        <w:rPr/>
      </w:pPr>
      <w:r>
        <w:rPr>
          <w:rFonts w:ascii="Lato;sans-serif" w:hAnsi="Lato;sans-serif"/>
          <w:b w:val="false"/>
          <w:color w:val="000000"/>
          <w:sz w:val="10"/>
        </w:rPr>
        <w:t xml:space="preserve">(4) </w:t>
      </w:r>
      <w:r>
        <w:rPr>
          <w:rFonts w:ascii="Lato;sans-serif" w:hAnsi="Lato;sans-serif"/>
          <w:b w:val="false"/>
          <w:color w:val="000000"/>
          <w:sz w:val="16"/>
        </w:rPr>
        <w:t>Represents the operating result of the Courtyard New York Manhattan/Fifth Avenue sold in 2026 and the Westin Washington D.C. City Center sold in 2025.</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Lato Black">
    <w:altName w:val="sans-serif"/>
    <w:charset w:val="01"/>
    <w:family w:val="auto"/>
    <w:pitch w:val="default"/>
  </w:font>
  <w:font w:name="Lato">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24</Pages>
  <Words>12365</Words>
  <Characters>59241</Characters>
  <CharactersWithSpaces>68735</CharactersWithSpaces>
  <Paragraphs>5449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