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270510</wp:posOffset>
            </wp:positionV>
            <wp:extent cx="7117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228600</wp:posOffset>
            </wp:positionV>
            <wp:extent cx="7117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74"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8" w:lineRule="exact"/>
        <w:rPr>
          <w:sz w:val="24"/>
          <w:szCs w:val="24"/>
          <w:color w:val="auto"/>
        </w:rPr>
      </w:pPr>
    </w:p>
    <w:p>
      <w:pPr>
        <w:ind w:left="340" w:hanging="333"/>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001-32514</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DIAMONDROCK HOSPITALITY COMPANY</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2" w:lineRule="exact"/>
        <w:rPr>
          <w:sz w:val="24"/>
          <w:szCs w:val="24"/>
          <w:color w:val="auto"/>
        </w:rPr>
      </w:pPr>
    </w:p>
    <w:tbl>
      <w:tblPr>
        <w:tblLayout w:type="fixed"/>
        <w:tblInd w:w="30" w:type="dxa"/>
        <w:tblCellMar>
          <w:top w:w="0" w:type="dxa"/>
          <w:left w:w="0" w:type="dxa"/>
          <w:bottom w:w="0" w:type="dxa"/>
          <w:right w:w="0" w:type="dxa"/>
        </w:tblCellMar>
      </w:tblPr>
      <w:tr>
        <w:trPr>
          <w:trHeight w:val="210"/>
        </w:trPr>
        <w:tc>
          <w:tcPr>
            <w:tcW w:w="3780" w:type="dxa"/>
            <w:vAlign w:val="bottom"/>
          </w:tcPr>
          <w:p>
            <w:pPr>
              <w:jc w:val="center"/>
              <w:ind w:left="126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40" w:type="dxa"/>
            <w:vAlign w:val="bottom"/>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20-1180098</w:t>
            </w:r>
          </w:p>
        </w:tc>
      </w:tr>
      <w:tr>
        <w:trPr>
          <w:trHeight w:val="213"/>
        </w:trPr>
        <w:tc>
          <w:tcPr>
            <w:tcW w:w="3780" w:type="dxa"/>
            <w:vAlign w:val="bottom"/>
          </w:tcPr>
          <w:p>
            <w:pPr>
              <w:jc w:val="center"/>
              <w:ind w:left="1260"/>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c>
          <w:tcPr>
            <w:tcW w:w="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426"/>
        </w:trPr>
        <w:tc>
          <w:tcPr>
            <w:tcW w:w="3780" w:type="dxa"/>
            <w:vAlign w:val="bottom"/>
          </w:tcPr>
          <w:p>
            <w:pPr>
              <w:jc w:val="center"/>
              <w:ind w:left="1260"/>
              <w:spacing w:after="0"/>
              <w:rPr>
                <w:sz w:val="20"/>
                <w:szCs w:val="20"/>
                <w:color w:val="auto"/>
              </w:rPr>
            </w:pPr>
            <w:r>
              <w:rPr>
                <w:rFonts w:ascii="Times New Roman" w:cs="Times New Roman" w:eastAsia="Times New Roman" w:hAnsi="Times New Roman"/>
                <w:sz w:val="16"/>
                <w:szCs w:val="16"/>
                <w:b w:val="1"/>
                <w:bCs w:val="1"/>
                <w:color w:val="auto"/>
                <w:w w:val="99"/>
              </w:rPr>
              <w:t>7373 Wisconsin Avenue, Suite 1900</w:t>
            </w:r>
          </w:p>
        </w:tc>
        <w:tc>
          <w:tcPr>
            <w:tcW w:w="260" w:type="dxa"/>
            <w:vAlign w:val="bottom"/>
          </w:tcPr>
          <w:p>
            <w:pPr>
              <w:spacing w:after="0"/>
              <w:rPr>
                <w:sz w:val="24"/>
                <w:szCs w:val="24"/>
                <w:color w:val="auto"/>
              </w:rPr>
            </w:pPr>
          </w:p>
        </w:tc>
        <w:tc>
          <w:tcPr>
            <w:tcW w:w="2680" w:type="dxa"/>
            <w:vAlign w:val="bottom"/>
          </w:tcPr>
          <w:p>
            <w:pPr>
              <w:ind w:left="1460"/>
              <w:spacing w:after="0"/>
              <w:rPr>
                <w:sz w:val="20"/>
                <w:szCs w:val="20"/>
                <w:color w:val="auto"/>
              </w:rPr>
            </w:pPr>
            <w:r>
              <w:rPr>
                <w:rFonts w:ascii="Times New Roman" w:cs="Times New Roman" w:eastAsia="Times New Roman" w:hAnsi="Times New Roman"/>
                <w:sz w:val="16"/>
                <w:szCs w:val="16"/>
                <w:b w:val="1"/>
                <w:bCs w:val="1"/>
                <w:color w:val="auto"/>
              </w:rPr>
              <w:t>Bethesda,</w:t>
            </w:r>
          </w:p>
        </w:tc>
        <w:tc>
          <w:tcPr>
            <w:tcW w:w="8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3640" w:type="dxa"/>
            <w:vAlign w:val="bottom"/>
          </w:tcPr>
          <w:p>
            <w:pPr>
              <w:jc w:val="right"/>
              <w:ind w:right="1340"/>
              <w:spacing w:after="0"/>
              <w:rPr>
                <w:sz w:val="20"/>
                <w:szCs w:val="20"/>
                <w:color w:val="auto"/>
              </w:rPr>
            </w:pPr>
            <w:r>
              <w:rPr>
                <w:rFonts w:ascii="Times New Roman" w:cs="Times New Roman" w:eastAsia="Times New Roman" w:hAnsi="Times New Roman"/>
                <w:sz w:val="16"/>
                <w:szCs w:val="16"/>
                <w:b w:val="1"/>
                <w:bCs w:val="1"/>
                <w:color w:val="auto"/>
              </w:rPr>
              <w:t>20814</w:t>
            </w:r>
          </w:p>
        </w:tc>
      </w:tr>
      <w:tr>
        <w:trPr>
          <w:trHeight w:val="213"/>
        </w:trPr>
        <w:tc>
          <w:tcPr>
            <w:tcW w:w="6720" w:type="dxa"/>
            <w:vAlign w:val="bottom"/>
            <w:gridSpan w:val="3"/>
          </w:tcPr>
          <w:p>
            <w:pPr>
              <w:jc w:val="center"/>
              <w:ind w:right="152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860" w:type="dxa"/>
            <w:vAlign w:val="bottom"/>
          </w:tcPr>
          <w:p>
            <w:pPr>
              <w:spacing w:after="0"/>
              <w:rPr>
                <w:sz w:val="18"/>
                <w:szCs w:val="18"/>
                <w:color w:val="auto"/>
              </w:rPr>
            </w:pPr>
          </w:p>
        </w:tc>
        <w:tc>
          <w:tcPr>
            <w:tcW w:w="3640" w:type="dxa"/>
            <w:vAlign w:val="bottom"/>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363"/>
        </w:trPr>
        <w:tc>
          <w:tcPr>
            <w:tcW w:w="3780" w:type="dxa"/>
            <w:vAlign w:val="bottom"/>
          </w:tcPr>
          <w:p>
            <w:pPr>
              <w:spacing w:after="0"/>
              <w:rPr>
                <w:sz w:val="24"/>
                <w:szCs w:val="24"/>
                <w:color w:val="auto"/>
              </w:rPr>
            </w:pPr>
          </w:p>
        </w:tc>
        <w:tc>
          <w:tcPr>
            <w:tcW w:w="2940" w:type="dxa"/>
            <w:vAlign w:val="bottom"/>
            <w:gridSpan w:val="2"/>
          </w:tcPr>
          <w:p>
            <w:pPr>
              <w:jc w:val="center"/>
              <w:ind w:left="620"/>
              <w:spacing w:after="0"/>
              <w:rPr>
                <w:sz w:val="20"/>
                <w:szCs w:val="20"/>
                <w:color w:val="auto"/>
              </w:rPr>
            </w:pPr>
            <w:r>
              <w:rPr>
                <w:rFonts w:ascii="Times New Roman" w:cs="Times New Roman" w:eastAsia="Times New Roman" w:hAnsi="Times New Roman"/>
                <w:sz w:val="16"/>
                <w:szCs w:val="16"/>
                <w:b w:val="1"/>
                <w:bCs w:val="1"/>
                <w:color w:val="auto"/>
                <w:w w:val="99"/>
              </w:rPr>
              <w:t>(240) 744-1150</w:t>
            </w:r>
          </w:p>
        </w:tc>
        <w:tc>
          <w:tcPr>
            <w:tcW w:w="8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0"/>
        </w:trPr>
        <w:tc>
          <w:tcPr>
            <w:tcW w:w="3780" w:type="dxa"/>
            <w:vAlign w:val="bottom"/>
          </w:tcPr>
          <w:p>
            <w:pPr>
              <w:spacing w:after="0"/>
              <w:rPr>
                <w:sz w:val="18"/>
                <w:szCs w:val="18"/>
                <w:color w:val="auto"/>
              </w:rPr>
            </w:pPr>
          </w:p>
        </w:tc>
        <w:tc>
          <w:tcPr>
            <w:tcW w:w="38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w:t>
            </w:r>
          </w:p>
        </w:tc>
        <w:tc>
          <w:tcPr>
            <w:tcW w:w="3640" w:type="dxa"/>
            <w:vAlign w:val="bottom"/>
          </w:tcPr>
          <w:p>
            <w:pPr>
              <w:spacing w:after="0"/>
              <w:rPr>
                <w:sz w:val="18"/>
                <w:szCs w:val="18"/>
                <w:color w:val="auto"/>
              </w:rPr>
            </w:pPr>
          </w:p>
        </w:tc>
      </w:tr>
      <w:tr>
        <w:trPr>
          <w:trHeight w:val="426"/>
        </w:trPr>
        <w:tc>
          <w:tcPr>
            <w:tcW w:w="7580" w:type="dxa"/>
            <w:vAlign w:val="bottom"/>
            <w:gridSpan w:val="4"/>
          </w:tcPr>
          <w:p>
            <w:pPr>
              <w:jc w:val="center"/>
              <w:ind w:left="35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640" w:type="dxa"/>
            <w:vAlign w:val="bottom"/>
          </w:tcPr>
          <w:p>
            <w:pPr>
              <w:spacing w:after="0"/>
              <w:rPr>
                <w:sz w:val="24"/>
                <w:szCs w:val="24"/>
                <w:color w:val="auto"/>
              </w:rPr>
            </w:pPr>
          </w:p>
        </w:tc>
      </w:tr>
      <w:tr>
        <w:trPr>
          <w:trHeight w:val="112"/>
        </w:trPr>
        <w:tc>
          <w:tcPr>
            <w:tcW w:w="37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r>
      <w:tr>
        <w:trPr>
          <w:trHeight w:val="205"/>
        </w:trPr>
        <w:tc>
          <w:tcPr>
            <w:tcW w:w="3780" w:type="dxa"/>
            <w:vAlign w:val="bottom"/>
            <w:tcBorders>
              <w:left w:val="single" w:sz="8" w:color="auto"/>
              <w:bottom w:val="single" w:sz="8" w:color="auto"/>
            </w:tcBorders>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860" w:type="dxa"/>
            <w:vAlign w:val="bottom"/>
            <w:tcBorders>
              <w:bottom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w w:val="98"/>
              </w:rPr>
              <w:t>Name of Exchange on Which Registered</w:t>
            </w:r>
          </w:p>
        </w:tc>
      </w:tr>
      <w:tr>
        <w:trPr>
          <w:trHeight w:val="206"/>
        </w:trPr>
        <w:tc>
          <w:tcPr>
            <w:tcW w:w="3780" w:type="dxa"/>
            <w:vAlign w:val="bottom"/>
            <w:tcBorders>
              <w:left w:val="single" w:sz="8" w:color="auto"/>
              <w:bottom w:val="single" w:sz="8" w:color="auto"/>
            </w:tcBorders>
          </w:tcPr>
          <w:p>
            <w:pPr>
              <w:jc w:val="center"/>
              <w:ind w:left="160"/>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2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DRH</w:t>
            </w:r>
          </w:p>
        </w:tc>
        <w:tc>
          <w:tcPr>
            <w:tcW w:w="860" w:type="dxa"/>
            <w:vAlign w:val="bottom"/>
            <w:tcBorders>
              <w:bottom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jc w:val="right"/>
              <w:ind w:right="118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35" w:lineRule="exact"/>
        <w:rPr>
          <w:sz w:val="24"/>
          <w:szCs w:val="24"/>
          <w:color w:val="auto"/>
        </w:rPr>
      </w:pPr>
    </w:p>
    <w:p>
      <w:pPr>
        <w:ind w:left="440"/>
        <w:spacing w:after="0" w:line="184" w:lineRule="exact"/>
        <w:tabs>
          <w:tab w:leader="none" w:pos="8140" w:val="left"/>
        </w:tabs>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89" w:lineRule="exact"/>
        <w:rPr>
          <w:sz w:val="24"/>
          <w:szCs w:val="24"/>
          <w:color w:val="auto"/>
        </w:rPr>
      </w:pPr>
    </w:p>
    <w:p>
      <w:pPr>
        <w:ind w:left="4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12" w:lineRule="exact"/>
        <w:rPr>
          <w:sz w:val="24"/>
          <w:szCs w:val="24"/>
          <w:color w:val="auto"/>
        </w:rPr>
      </w:pPr>
    </w:p>
    <w:p>
      <w:pPr>
        <w:jc w:val="both"/>
        <w:ind w:firstLine="44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3"/>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77" w:lineRule="exact"/>
        <w:rPr>
          <w:sz w:val="24"/>
          <w:szCs w:val="24"/>
          <w:color w:val="auto"/>
        </w:rPr>
      </w:pPr>
    </w:p>
    <w:p>
      <w:pPr>
        <w:jc w:val="both"/>
        <w:ind w:firstLine="440"/>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41" w:lineRule="exact"/>
        <w:rPr>
          <w:sz w:val="24"/>
          <w:szCs w:val="24"/>
          <w:color w:val="auto"/>
        </w:rPr>
      </w:pPr>
    </w:p>
    <w:p>
      <w:pPr>
        <w:jc w:val="both"/>
        <w:ind w:firstLine="440"/>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518795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40"/>
          </w:cols>
          <w:pgMar w:left="320" w:top="359"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3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3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38" w:lineRule="exact"/>
        <w:rPr>
          <w:sz w:val="20"/>
          <w:szCs w:val="20"/>
          <w:color w:val="auto"/>
        </w:rPr>
      </w:pPr>
    </w:p>
    <w:p>
      <w:pPr>
        <w:sectPr>
          <w:pgSz w:w="11900" w:h="16838" w:orient="portrait"/>
          <w:cols w:equalWidth="0" w:num="6">
            <w:col w:w="2520" w:space="720"/>
            <w:col w:w="320" w:space="720"/>
            <w:col w:w="1740" w:space="720"/>
            <w:col w:w="480" w:space="720"/>
            <w:col w:w="1560" w:space="720"/>
            <w:col w:w="1020"/>
          </w:cols>
          <w:pgMar w:left="320" w:top="359" w:right="339" w:bottom="1440" w:gutter="0" w:footer="0" w:header="0"/>
          <w:type w:val="continuous"/>
        </w:sectPr>
      </w:pPr>
    </w:p>
    <w:p>
      <w:pPr>
        <w:spacing w:after="0" w:line="8" w:lineRule="exact"/>
        <w:rPr>
          <w:sz w:val="20"/>
          <w:szCs w:val="20"/>
          <w:color w:val="auto"/>
        </w:rPr>
      </w:pPr>
    </w:p>
    <w:p>
      <w:pPr>
        <w:jc w:val="both"/>
        <w:ind w:firstLine="4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6"/>
          <w:szCs w:val="16"/>
          <w:color w:val="auto"/>
        </w:rPr>
        <w:t>☐</w:t>
      </w:r>
    </w:p>
    <w:p>
      <w:pPr>
        <w:spacing w:after="0" w:line="141" w:lineRule="exact"/>
        <w:rPr>
          <w:sz w:val="20"/>
          <w:szCs w:val="20"/>
          <w:color w:val="auto"/>
        </w:rPr>
      </w:pPr>
    </w:p>
    <w:p>
      <w:pPr>
        <w:jc w:val="both"/>
        <w:ind w:firstLine="440"/>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41" w:lineRule="exact"/>
        <w:rPr>
          <w:sz w:val="20"/>
          <w:szCs w:val="20"/>
          <w:color w:val="auto"/>
        </w:rPr>
      </w:pPr>
    </w:p>
    <w:p>
      <w:pPr>
        <w:jc w:val="both"/>
        <w:ind w:firstLine="440"/>
        <w:spacing w:after="0" w:line="21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27" w:lineRule="exact"/>
        <w:rPr>
          <w:sz w:val="20"/>
          <w:szCs w:val="20"/>
          <w:color w:val="auto"/>
        </w:rPr>
      </w:pPr>
    </w:p>
    <w:p>
      <w:pPr>
        <w:jc w:val="both"/>
        <w:ind w:firstLine="440"/>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91" w:lineRule="exact"/>
        <w:rPr>
          <w:sz w:val="20"/>
          <w:szCs w:val="20"/>
          <w:color w:val="auto"/>
        </w:rPr>
      </w:pPr>
    </w:p>
    <w:p>
      <w:pPr>
        <w:ind w:left="4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6"/>
          <w:szCs w:val="16"/>
          <w:color w:val="auto"/>
        </w:rPr>
        <w:t>The aggregate market value of the common equity held by non-affiliates of the Registrant (assuming for these purposes, but without conceding, that all executive officers and Directors are “affiliates” of the Registrant) as of June 30, 2025, the last business day of the Registrant's most recently completed second fiscal quarter, was $1.6 billion (based on the closing sale price of the Registrant's Common Stock on that date as reported on the New York Stock Exchange).</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registrant had 203,703,182 shares of its $0.01 par value Common Stock outstanding as of February 26, 2026.</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91" w:lineRule="exact"/>
        <w:rPr>
          <w:sz w:val="20"/>
          <w:szCs w:val="20"/>
          <w:color w:val="auto"/>
        </w:rPr>
      </w:pPr>
    </w:p>
    <w:p>
      <w:pPr>
        <w:jc w:val="both"/>
        <w:ind w:firstLine="440"/>
        <w:spacing w:after="0" w:line="275" w:lineRule="auto"/>
        <w:rPr>
          <w:sz w:val="20"/>
          <w:szCs w:val="20"/>
          <w:color w:val="auto"/>
        </w:rPr>
      </w:pPr>
      <w:r>
        <w:rPr>
          <w:rFonts w:ascii="Times New Roman" w:cs="Times New Roman" w:eastAsia="Times New Roman" w:hAnsi="Times New Roman"/>
          <w:sz w:val="16"/>
          <w:szCs w:val="16"/>
          <w:color w:val="auto"/>
        </w:rPr>
        <w:t>Portions of the registrant's Proxy Statement for its 2026 Annual Meeting of Stockholders, to be filed with the Securities and Exchange Commission not later than 120 days after December 31, 2025, are incorporated by reference in Part III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693420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79375</wp:posOffset>
            </wp:positionV>
            <wp:extent cx="7117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7080" cy="1714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53975</wp:posOffset>
            </wp:positionV>
            <wp:extent cx="7117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tbl>
      <w:tblPr>
        <w:tblLayout w:type="fixed"/>
        <w:tblInd w:w="100" w:type="dxa"/>
        <w:tblCellMar>
          <w:top w:w="0" w:type="dxa"/>
          <w:left w:w="0" w:type="dxa"/>
          <w:bottom w:w="0" w:type="dxa"/>
          <w:right w:w="0" w:type="dxa"/>
        </w:tblCellMar>
      </w:tblPr>
      <w:tr>
        <w:trPr>
          <w:trHeight w:val="200"/>
        </w:trPr>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auto"/>
            </w:tcBorders>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INDEX</w:t>
            </w:r>
          </w:p>
        </w:tc>
        <w:tc>
          <w:tcPr>
            <w:tcW w:w="400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3"/>
        </w:trPr>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000" w:type="dxa"/>
            <w:vAlign w:val="bottom"/>
            <w:gridSpan w:val="9"/>
            <w:vMerge w:val="restart"/>
          </w:tcPr>
          <w:p>
            <w:pPr>
              <w:spacing w:after="0"/>
              <w:rPr>
                <w:sz w:val="24"/>
                <w:szCs w:val="24"/>
                <w:color w:val="auto"/>
              </w:rPr>
            </w:pPr>
          </w:p>
        </w:tc>
        <w:tc>
          <w:tcPr>
            <w:tcW w:w="124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0000FF"/>
            </w:tcBorders>
            <w:gridSpan w:val="2"/>
            <w:vMerge w:val="continue"/>
          </w:tcPr>
          <w:p>
            <w:pPr>
              <w:spacing w:after="0"/>
              <w:rPr>
                <w:sz w:val="14"/>
                <w:szCs w:val="14"/>
                <w:color w:val="auto"/>
              </w:rPr>
            </w:pPr>
          </w:p>
        </w:tc>
        <w:tc>
          <w:tcPr>
            <w:tcW w:w="4000" w:type="dxa"/>
            <w:vAlign w:val="bottom"/>
            <w:gridSpan w:val="9"/>
            <w:vMerge w:val="continue"/>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8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240" w:type="dxa"/>
            <w:vAlign w:val="bottom"/>
            <w:gridSpan w:val="27"/>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8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7140" w:type="dxa"/>
            <w:vAlign w:val="bottom"/>
            <w:gridSpan w:val="20"/>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Item 2. Properties</w:t>
            </w:r>
          </w:p>
        </w:tc>
        <w:tc>
          <w:tcPr>
            <w:tcW w:w="440" w:type="dxa"/>
            <w:vAlign w:val="bottom"/>
            <w:gridSpan w:val="2"/>
          </w:tcPr>
          <w:p>
            <w:pPr>
              <w:spacing w:after="0"/>
              <w:rPr>
                <w:sz w:val="17"/>
                <w:szCs w:val="17"/>
                <w:color w:val="auto"/>
              </w:rPr>
            </w:pPr>
          </w:p>
        </w:tc>
        <w:tc>
          <w:tcPr>
            <w:tcW w:w="8160" w:type="dxa"/>
            <w:vAlign w:val="bottom"/>
            <w:gridSpan w:val="26"/>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9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7860" w:type="dxa"/>
            <w:vAlign w:val="bottom"/>
            <w:gridSpan w:val="24"/>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8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460"/>
        </w:trPr>
        <w:tc>
          <w:tcPr>
            <w:tcW w:w="1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12"/>
          </w:tcPr>
          <w:p>
            <w:pPr>
              <w:jc w:val="center"/>
              <w:ind w:right="398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10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8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6. Reserved</w:t>
            </w:r>
          </w:p>
        </w:tc>
        <w:tc>
          <w:tcPr>
            <w:tcW w:w="7280" w:type="dxa"/>
            <w:vAlign w:val="bottom"/>
            <w:gridSpan w:val="27"/>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8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196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1740" w:type="dxa"/>
            <w:vAlign w:val="bottom"/>
            <w:gridSpan w:val="10"/>
          </w:tcPr>
          <w:p>
            <w:pPr>
              <w:spacing w:after="0"/>
              <w:rPr>
                <w:sz w:val="17"/>
                <w:szCs w:val="17"/>
                <w:color w:val="auto"/>
              </w:rPr>
            </w:pPr>
          </w:p>
        </w:tc>
        <w:tc>
          <w:tcPr>
            <w:tcW w:w="292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0"/>
        </w:trPr>
        <w:tc>
          <w:tcPr>
            <w:tcW w:w="196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Item 8. Financial Statements and Supplementary Data</w:t>
            </w:r>
          </w:p>
        </w:tc>
        <w:tc>
          <w:tcPr>
            <w:tcW w:w="1320" w:type="dxa"/>
            <w:vAlign w:val="bottom"/>
            <w:gridSpan w:val="3"/>
          </w:tcPr>
          <w:p>
            <w:pPr>
              <w:spacing w:after="0"/>
              <w:rPr>
                <w:sz w:val="17"/>
                <w:szCs w:val="17"/>
                <w:color w:val="auto"/>
              </w:rPr>
            </w:pPr>
          </w:p>
        </w:tc>
        <w:tc>
          <w:tcPr>
            <w:tcW w:w="4660" w:type="dxa"/>
            <w:vAlign w:val="bottom"/>
            <w:gridSpan w:val="14"/>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0"/>
        </w:trPr>
        <w:tc>
          <w:tcPr>
            <w:tcW w:w="196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0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8"/>
              </w:rPr>
              <w:t>Item 9. Changes in and Disagreements with Accountants on Accounting and Financial Disclosures</w:t>
            </w:r>
          </w:p>
        </w:tc>
        <w:tc>
          <w:tcPr>
            <w:tcW w:w="280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0"/>
        </w:trPr>
        <w:tc>
          <w:tcPr>
            <w:tcW w:w="196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0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280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0"/>
        </w:trPr>
        <w:tc>
          <w:tcPr>
            <w:tcW w:w="196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7400" w:type="dxa"/>
            <w:vAlign w:val="bottom"/>
            <w:gridSpan w:val="21"/>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54</w:t>
            </w:r>
          </w:p>
        </w:tc>
        <w:tc>
          <w:tcPr>
            <w:tcW w:w="0" w:type="dxa"/>
            <w:vAlign w:val="bottom"/>
          </w:tcPr>
          <w:p>
            <w:pPr>
              <w:spacing w:after="0"/>
              <w:rPr>
                <w:sz w:val="1"/>
                <w:szCs w:val="1"/>
                <w:color w:val="auto"/>
              </w:rPr>
            </w:pPr>
          </w:p>
        </w:tc>
      </w:tr>
      <w:tr>
        <w:trPr>
          <w:trHeight w:val="20"/>
        </w:trPr>
        <w:tc>
          <w:tcPr>
            <w:tcW w:w="196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8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
        </w:trPr>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920" w:type="dxa"/>
            <w:vAlign w:val="bottom"/>
            <w:gridSpan w:val="6"/>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55</w:t>
            </w:r>
          </w:p>
        </w:tc>
        <w:tc>
          <w:tcPr>
            <w:tcW w:w="0" w:type="dxa"/>
            <w:vAlign w:val="bottom"/>
          </w:tcPr>
          <w:p>
            <w:pPr>
              <w:spacing w:after="0"/>
              <w:rPr>
                <w:sz w:val="1"/>
                <w:szCs w:val="1"/>
                <w:color w:val="auto"/>
              </w:rPr>
            </w:pPr>
          </w:p>
        </w:tc>
      </w:tr>
      <w:tr>
        <w:trPr>
          <w:trHeight w:val="20"/>
        </w:trPr>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Item 11. Executive Compensation</w:t>
            </w:r>
          </w:p>
        </w:tc>
        <w:tc>
          <w:tcPr>
            <w:tcW w:w="2260" w:type="dxa"/>
            <w:vAlign w:val="bottom"/>
            <w:gridSpan w:val="5"/>
          </w:tcPr>
          <w:p>
            <w:pPr>
              <w:spacing w:after="0"/>
              <w:rPr>
                <w:sz w:val="17"/>
                <w:szCs w:val="17"/>
                <w:color w:val="auto"/>
              </w:rPr>
            </w:pPr>
          </w:p>
        </w:tc>
        <w:tc>
          <w:tcPr>
            <w:tcW w:w="5140" w:type="dxa"/>
            <w:vAlign w:val="bottom"/>
            <w:gridSpan w:val="16"/>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55</w:t>
            </w:r>
          </w:p>
        </w:tc>
        <w:tc>
          <w:tcPr>
            <w:tcW w:w="0" w:type="dxa"/>
            <w:vAlign w:val="bottom"/>
          </w:tcPr>
          <w:p>
            <w:pPr>
              <w:spacing w:after="0"/>
              <w:rPr>
                <w:sz w:val="1"/>
                <w:szCs w:val="1"/>
                <w:color w:val="auto"/>
              </w:rPr>
            </w:pPr>
          </w:p>
        </w:tc>
      </w:tr>
      <w:tr>
        <w:trPr>
          <w:trHeight w:val="20"/>
        </w:trPr>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8"/>
              </w:rPr>
              <w:t>Item 12. Security Ownership of Certain Beneficial Owners and Management and Related Stockholder Matters</w:t>
            </w:r>
          </w:p>
        </w:tc>
        <w:tc>
          <w:tcPr>
            <w:tcW w:w="19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55</w:t>
            </w:r>
          </w:p>
        </w:tc>
        <w:tc>
          <w:tcPr>
            <w:tcW w:w="0" w:type="dxa"/>
            <w:vAlign w:val="bottom"/>
          </w:tcPr>
          <w:p>
            <w:pPr>
              <w:spacing w:after="0"/>
              <w:rPr>
                <w:sz w:val="1"/>
                <w:szCs w:val="1"/>
                <w:color w:val="auto"/>
              </w:rPr>
            </w:pPr>
          </w:p>
        </w:tc>
      </w:tr>
      <w:tr>
        <w:trPr>
          <w:trHeight w:val="20"/>
        </w:trPr>
        <w:tc>
          <w:tcPr>
            <w:tcW w:w="2180" w:type="dxa"/>
            <w:vAlign w:val="bottom"/>
            <w:gridSpan w:val="7"/>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19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55</w:t>
            </w:r>
          </w:p>
        </w:tc>
        <w:tc>
          <w:tcPr>
            <w:tcW w:w="0" w:type="dxa"/>
            <w:vAlign w:val="bottom"/>
          </w:tcPr>
          <w:p>
            <w:pPr>
              <w:spacing w:after="0"/>
              <w:rPr>
                <w:sz w:val="1"/>
                <w:szCs w:val="1"/>
                <w:color w:val="auto"/>
              </w:rPr>
            </w:pPr>
          </w:p>
        </w:tc>
      </w:tr>
      <w:tr>
        <w:trPr>
          <w:trHeight w:val="20"/>
        </w:trPr>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380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55</w:t>
            </w:r>
          </w:p>
        </w:tc>
        <w:tc>
          <w:tcPr>
            <w:tcW w:w="0" w:type="dxa"/>
            <w:vAlign w:val="bottom"/>
          </w:tcPr>
          <w:p>
            <w:pPr>
              <w:spacing w:after="0"/>
              <w:rPr>
                <w:sz w:val="1"/>
                <w:szCs w:val="1"/>
                <w:color w:val="auto"/>
              </w:rPr>
            </w:pPr>
          </w:p>
        </w:tc>
      </w:tr>
      <w:tr>
        <w:trPr>
          <w:trHeight w:val="460"/>
        </w:trPr>
        <w:tc>
          <w:tcPr>
            <w:tcW w:w="1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60" w:type="dxa"/>
            <w:vAlign w:val="bottom"/>
            <w:gridSpan w:val="14"/>
          </w:tcPr>
          <w:p>
            <w:pPr>
              <w:jc w:val="center"/>
              <w:ind w:right="392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10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3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Item 15. Exhibits and Financial Statement Schedules</w:t>
            </w:r>
          </w:p>
        </w:tc>
        <w:tc>
          <w:tcPr>
            <w:tcW w:w="1420" w:type="dxa"/>
            <w:vAlign w:val="bottom"/>
            <w:gridSpan w:val="5"/>
          </w:tcPr>
          <w:p>
            <w:pPr>
              <w:spacing w:after="0"/>
              <w:rPr>
                <w:sz w:val="24"/>
                <w:szCs w:val="24"/>
                <w:color w:val="auto"/>
              </w:rPr>
            </w:pPr>
          </w:p>
        </w:tc>
        <w:tc>
          <w:tcPr>
            <w:tcW w:w="700" w:type="dxa"/>
            <w:vAlign w:val="bottom"/>
            <w:tcBorders>
              <w:top w:val="single" w:sz="8" w:color="0000FF"/>
            </w:tcBorders>
            <w:gridSpan w:val="6"/>
          </w:tcPr>
          <w:p>
            <w:pPr>
              <w:spacing w:after="0"/>
              <w:rPr>
                <w:sz w:val="24"/>
                <w:szCs w:val="24"/>
                <w:color w:val="auto"/>
              </w:rPr>
            </w:pPr>
          </w:p>
        </w:tc>
        <w:tc>
          <w:tcPr>
            <w:tcW w:w="3940" w:type="dxa"/>
            <w:vAlign w:val="bottom"/>
            <w:gridSpan w:val="7"/>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56</w:t>
            </w:r>
          </w:p>
        </w:tc>
        <w:tc>
          <w:tcPr>
            <w:tcW w:w="0" w:type="dxa"/>
            <w:vAlign w:val="bottom"/>
          </w:tcPr>
          <w:p>
            <w:pPr>
              <w:spacing w:after="0"/>
              <w:rPr>
                <w:sz w:val="1"/>
                <w:szCs w:val="1"/>
                <w:color w:val="auto"/>
              </w:rPr>
            </w:pPr>
          </w:p>
        </w:tc>
      </w:tr>
      <w:tr>
        <w:trPr>
          <w:trHeight w:val="20"/>
        </w:trPr>
        <w:tc>
          <w:tcPr>
            <w:tcW w:w="2180" w:type="dxa"/>
            <w:vAlign w:val="bottom"/>
            <w:gridSpan w:val="7"/>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060" w:type="dxa"/>
            <w:vAlign w:val="bottom"/>
            <w:gridSpan w:val="1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Item 16. Form 10-K Summary</w:t>
            </w:r>
          </w:p>
        </w:tc>
        <w:tc>
          <w:tcPr>
            <w:tcW w:w="1580" w:type="dxa"/>
            <w:vAlign w:val="bottom"/>
            <w:gridSpan w:val="5"/>
          </w:tcPr>
          <w:p>
            <w:pPr>
              <w:spacing w:after="0"/>
              <w:rPr>
                <w:sz w:val="17"/>
                <w:szCs w:val="17"/>
                <w:color w:val="auto"/>
              </w:rPr>
            </w:pPr>
          </w:p>
        </w:tc>
        <w:tc>
          <w:tcPr>
            <w:tcW w:w="6060" w:type="dxa"/>
            <w:vAlign w:val="bottom"/>
            <w:gridSpan w:val="18"/>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58</w:t>
            </w:r>
          </w:p>
        </w:tc>
        <w:tc>
          <w:tcPr>
            <w:tcW w:w="0" w:type="dxa"/>
            <w:vAlign w:val="bottom"/>
          </w:tcPr>
          <w:p>
            <w:pPr>
              <w:spacing w:after="0"/>
              <w:rPr>
                <w:sz w:val="1"/>
                <w:szCs w:val="1"/>
                <w:color w:val="auto"/>
              </w:rPr>
            </w:pPr>
          </w:p>
        </w:tc>
      </w:tr>
      <w:tr>
        <w:trPr>
          <w:trHeight w:val="20"/>
        </w:trPr>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052"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248"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Certain statements in this Annual Report on Form 10-K,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“projects,” “expects,” “anticipates,” “estimates,” “intends,” “strategy,” “plan,” “may,” “will,” “would,” “will be,” “will continue,” “will likely result,” “strive,” “endeavor,” “mission,” “goal,” and similar expressions. Forward-looking statements are based on current expectations and assumptions that are subject to risks and uncertainties which may cause actual results to differ materially from the forward-looking statements.</w:t>
      </w:r>
    </w:p>
    <w:p>
      <w:pPr>
        <w:spacing w:after="0" w:line="211"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Some of the risks and uncertainties that may cause our actual results, performance or achievements to differ materially from those expressed or implied by forward-looking statements include, among others, the following:</w:t>
      </w:r>
    </w:p>
    <w:p>
      <w:pPr>
        <w:spacing w:after="0" w:line="190" w:lineRule="exact"/>
        <w:rPr>
          <w:sz w:val="20"/>
          <w:szCs w:val="20"/>
          <w:color w:val="auto"/>
        </w:rPr>
      </w:pPr>
    </w:p>
    <w:p>
      <w:pPr>
        <w:ind w:left="640" w:right="500" w:hanging="314"/>
        <w:spacing w:after="0" w:line="258"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developments in the economy, including, but not limited to elevated interest rates and costs due to recent inflation, job loss or growth trends, an increase in unemployment or a decrease in corporate earnings and investment;</w:t>
      </w:r>
    </w:p>
    <w:p>
      <w:pPr>
        <w:ind w:left="640" w:right="40" w:hanging="314"/>
        <w:spacing w:after="0" w:line="24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lodging industry and from alternative lodging channels or third party internet intermediaries in the markets in which we own properties;</w:t>
      </w: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execute our long-term business strategy and successfully identify and complete acquisitions and dispositions;</w:t>
      </w:r>
    </w:p>
    <w:p>
      <w:pPr>
        <w:spacing w:after="0" w:line="6" w:lineRule="exact"/>
        <w:rPr>
          <w:rFonts w:ascii="Times New Roman" w:cs="Times New Roman" w:eastAsia="Times New Roman" w:hAnsi="Times New Roman"/>
          <w:sz w:val="18"/>
          <w:szCs w:val="18"/>
          <w:color w:val="auto"/>
        </w:rPr>
      </w:pPr>
    </w:p>
    <w:p>
      <w:pPr>
        <w:ind w:left="640" w:hanging="314"/>
        <w:spacing w:after="0" w:line="24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affecting hotel management, operations and renovations (including, without limitation, elevated inflation, construction delays, increased construction costs, disruption in hotel operations and the risks associated with our management and franchise agreements);</w:t>
      </w:r>
    </w:p>
    <w:p>
      <w:pPr>
        <w:ind w:left="640" w:right="860" w:hanging="314"/>
        <w:spacing w:after="0" w:line="24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availability and terms of financing and the use of debt to fund acquisitions and renovations or refinance existing indebtedness, including the impact of higher interest rates on the cost and/or availability of financing;</w:t>
      </w: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level of indebtedness and our ability to satisfy our obligations under our debt agreements;</w:t>
      </w:r>
    </w:p>
    <w:p>
      <w:pPr>
        <w:spacing w:after="0" w:line="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the lodging industry overall, including, without limitation, decreases in the frequency of travel and increases in operating costs;</w:t>
      </w:r>
    </w:p>
    <w:p>
      <w:pPr>
        <w:spacing w:after="0" w:line="17" w:lineRule="exact"/>
        <w:rPr>
          <w:rFonts w:ascii="Times New Roman" w:cs="Times New Roman" w:eastAsia="Times New Roman" w:hAnsi="Times New Roman"/>
          <w:sz w:val="17"/>
          <w:szCs w:val="17"/>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our obligations under our management agreements;</w:t>
      </w:r>
    </w:p>
    <w:p>
      <w:pPr>
        <w:spacing w:after="0" w:line="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natural disasters and other unforeseen catastrophic events;</w:t>
      </w:r>
    </w:p>
    <w:p>
      <w:pPr>
        <w:spacing w:after="0" w:line="6" w:lineRule="exact"/>
        <w:rPr>
          <w:rFonts w:ascii="Times New Roman" w:cs="Times New Roman" w:eastAsia="Times New Roman" w:hAnsi="Times New Roman"/>
          <w:sz w:val="18"/>
          <w:szCs w:val="18"/>
          <w:color w:val="auto"/>
        </w:rPr>
      </w:pPr>
    </w:p>
    <w:p>
      <w:pPr>
        <w:ind w:left="640" w:right="40" w:hanging="314"/>
        <w:spacing w:after="0" w:line="24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any future pandemic, epidemic or outbreak of any highly infectious disease on the U.S., regional and global economies, travel, the hospitality industry, and on our financial condition and results of operations and our hotels;</w:t>
      </w: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government regulations, including, without limitation, the Americans with Disabilities Act;</w:t>
      </w:r>
    </w:p>
    <w:p>
      <w:pPr>
        <w:spacing w:after="0" w:line="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uninsured losses and environmental contamination;</w:t>
      </w:r>
    </w:p>
    <w:p>
      <w:pPr>
        <w:spacing w:after="0" w:line="6" w:lineRule="exact"/>
        <w:rPr>
          <w:rFonts w:ascii="Times New Roman" w:cs="Times New Roman" w:eastAsia="Times New Roman" w:hAnsi="Times New Roman"/>
          <w:sz w:val="18"/>
          <w:szCs w:val="18"/>
          <w:color w:val="auto"/>
        </w:rPr>
      </w:pPr>
    </w:p>
    <w:p>
      <w:pPr>
        <w:ind w:left="640" w:right="280" w:hanging="314"/>
        <w:spacing w:after="0" w:line="24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security breaches through cyber-attacks or otherwise, as well as other significant disruptions of our and our hotel managers’ information technologies and systems, which support our operations and those of our hotel managers;</w:t>
      </w:r>
    </w:p>
    <w:p>
      <w:pPr>
        <w:ind w:left="640" w:right="40" w:hanging="314"/>
        <w:spacing w:after="0" w:line="24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potential failure to maintain our qualification as a real estate investment trust (“REIT”) under the Internal Revenue Code of 1986, as amended (the “Code”);</w:t>
      </w: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tax and environmental laws; and</w:t>
      </w:r>
    </w:p>
    <w:p>
      <w:pPr>
        <w:spacing w:after="0" w:line="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dependence on key personnel whose continued service is not guaranteed.</w:t>
      </w:r>
    </w:p>
    <w:p>
      <w:pPr>
        <w:spacing w:after="0" w:line="6"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The risks and uncertainties set forth above are not exhaustive. Other sections of this Annual Report on Form 10-K, including Item 1A “Risk Factors” and Item 7 “Management's Discussion and Analysis of Financial Condition and Results of Operations,” discuss these and other risks and uncertainties that could cause actual results and events to differ materially from such forward-looking statements.</w:t>
      </w:r>
    </w:p>
    <w:p>
      <w:pPr>
        <w:spacing w:after="0" w:line="214"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Except as required by law, we undertake no obligation to update or revise publicly any forward-looking statements, whether as a result of new information, future events or otherwise.</w:t>
      </w:r>
    </w:p>
    <w:p>
      <w:pPr>
        <w:spacing w:after="0" w:line="190" w:lineRule="exact"/>
        <w:rPr>
          <w:sz w:val="20"/>
          <w:szCs w:val="20"/>
          <w:color w:val="auto"/>
        </w:rPr>
      </w:pPr>
    </w:p>
    <w:p>
      <w:pPr>
        <w:jc w:val="both"/>
        <w:ind w:right="20" w:firstLine="400"/>
        <w:spacing w:after="0" w:line="276" w:lineRule="auto"/>
        <w:rPr>
          <w:sz w:val="20"/>
          <w:szCs w:val="20"/>
          <w:color w:val="auto"/>
        </w:rPr>
      </w:pPr>
      <w:r>
        <w:rPr>
          <w:rFonts w:ascii="Times New Roman" w:cs="Times New Roman" w:eastAsia="Times New Roman" w:hAnsi="Times New Roman"/>
          <w:sz w:val="18"/>
          <w:szCs w:val="18"/>
          <w:color w:val="auto"/>
        </w:rPr>
        <w:t>References in this Annual Report on Form 10-K to “we,” “our,” “us” and “the Company” refer to DiamondRock Hospitality Company, including as the context requires, DiamondRock Hospitality Limited Partnership, as well as our other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48"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The risk factors detailed in Item 1A entitled “Risk Factors” in this Annual Report on Form 10-K,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204" w:lineRule="exact"/>
        <w:rPr>
          <w:sz w:val="20"/>
          <w:szCs w:val="20"/>
          <w:color w:val="auto"/>
        </w:rPr>
      </w:pPr>
    </w:p>
    <w:p>
      <w:pPr>
        <w:ind w:left="640" w:right="20" w:hanging="314"/>
        <w:spacing w:after="0" w:line="257"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Our hotels are subject to significant competition and our business model, especially our concentration in premium full-service hotels, can be highly volatile, which may make it difficult to execute our long-term business strategy.</w:t>
      </w:r>
    </w:p>
    <w:p>
      <w:pPr>
        <w:spacing w:after="0" w:line="1" w:lineRule="exact"/>
        <w:rPr>
          <w:rFonts w:ascii="Arial" w:cs="Arial" w:eastAsia="Arial" w:hAnsi="Arial"/>
          <w:sz w:val="18"/>
          <w:szCs w:val="18"/>
          <w:color w:val="auto"/>
        </w:rPr>
      </w:pPr>
    </w:p>
    <w:p>
      <w:pPr>
        <w:jc w:val="both"/>
        <w:ind w:left="640" w:hanging="314"/>
        <w:spacing w:after="0" w:line="246"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Unfavorable market and economic conditions in the U.S. and in the specific markets where our hotels are located and other factors beyond our control, including effects on macroeconomic indicators such as U.S. gross domestic product (“GDP”) growth, employment, personal discretionary spending levels, corporate earnings and investment, foreign exchange rates and travel demand, may adversely affect the lodging industry.</w:t>
      </w:r>
    </w:p>
    <w:p>
      <w:pPr>
        <w:spacing w:after="0" w:line="2" w:lineRule="exact"/>
        <w:rPr>
          <w:rFonts w:ascii="Arial" w:cs="Arial" w:eastAsia="Arial" w:hAnsi="Arial"/>
          <w:sz w:val="18"/>
          <w:szCs w:val="18"/>
          <w:color w:val="auto"/>
        </w:rPr>
      </w:pPr>
    </w:p>
    <w:p>
      <w:pPr>
        <w:jc w:val="both"/>
        <w:ind w:left="640" w:hanging="314"/>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comply with financial covenants, obtain waivers, or renegotiate such covenants under our senior unsecured credit facility and unsecured term loans, which could result in a default and potential acceleration of our indebtedness and impact our ability to make additional borrowings.</w:t>
      </w:r>
    </w:p>
    <w:p>
      <w:pPr>
        <w:ind w:left="640" w:hanging="314"/>
        <w:spacing w:after="0" w:line="246"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The increase in the use of third-party internet travel intermediaries and the increase in alternative lodging channels, such as Airbnb, could adversely affect our profitability.</w:t>
      </w:r>
    </w:p>
    <w:p>
      <w:pPr>
        <w:spacing w:after="0" w:line="1" w:lineRule="exact"/>
        <w:rPr>
          <w:rFonts w:ascii="Arial" w:cs="Arial" w:eastAsia="Arial" w:hAnsi="Arial"/>
          <w:sz w:val="18"/>
          <w:szCs w:val="18"/>
          <w:color w:val="auto"/>
        </w:rPr>
      </w:pPr>
    </w:p>
    <w:p>
      <w:pPr>
        <w:ind w:left="640" w:hanging="314"/>
        <w:spacing w:after="0"/>
        <w:tabs>
          <w:tab w:leader="none" w:pos="64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A decrease in business-related travel could adversely affect our profitability.</w:t>
      </w:r>
    </w:p>
    <w:p>
      <w:pPr>
        <w:spacing w:after="0" w:line="6" w:lineRule="exact"/>
        <w:rPr>
          <w:rFonts w:ascii="Arial" w:cs="Arial" w:eastAsia="Arial" w:hAnsi="Arial"/>
          <w:sz w:val="18"/>
          <w:szCs w:val="18"/>
          <w:color w:val="auto"/>
        </w:rPr>
      </w:pPr>
    </w:p>
    <w:p>
      <w:pPr>
        <w:ind w:left="640" w:hanging="314"/>
        <w:spacing w:after="0" w:line="246"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Due to restrictions in our hotel management agreements, franchise agreements, mortgage agreements and ground leases, we may not be able to sell our hotels at the highest possible price, or at all.</w:t>
      </w:r>
    </w:p>
    <w:p>
      <w:pPr>
        <w:ind w:left="640" w:hanging="314"/>
        <w:spacing w:after="0" w:line="246"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We may be subject to unknown or contingent liabilities related to hotels we currently own, as well as hotels that we have sold or may acquire in the future, for, among other things, uninsured losses and environmental contamination.</w:t>
      </w:r>
    </w:p>
    <w:p>
      <w:pPr>
        <w:spacing w:after="0" w:line="1" w:lineRule="exact"/>
        <w:rPr>
          <w:rFonts w:ascii="Arial" w:cs="Arial" w:eastAsia="Arial" w:hAnsi="Arial"/>
          <w:sz w:val="18"/>
          <w:szCs w:val="18"/>
          <w:color w:val="auto"/>
        </w:rPr>
      </w:pPr>
    </w:p>
    <w:p>
      <w:pPr>
        <w:ind w:left="640" w:right="20" w:hanging="314"/>
        <w:spacing w:after="0" w:line="246"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We are susceptible to delays in completing ongoing or future renovations and capital improvements due to potential lack of funding for such expenditures, disruptions in the supply of materials or products and the inability of contractors to perform on a timely basis, or at all.</w:t>
      </w:r>
    </w:p>
    <w:p>
      <w:pPr>
        <w:spacing w:after="0" w:line="1" w:lineRule="exact"/>
        <w:rPr>
          <w:rFonts w:ascii="Arial" w:cs="Arial" w:eastAsia="Arial" w:hAnsi="Arial"/>
          <w:sz w:val="18"/>
          <w:szCs w:val="18"/>
          <w:color w:val="auto"/>
        </w:rPr>
      </w:pPr>
    </w:p>
    <w:p>
      <w:pPr>
        <w:ind w:left="640" w:hanging="314"/>
        <w:spacing w:after="0" w:line="246"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Several of our hotels are operated under franchise agreements and we are subject to the risks associated with the franchise brand and the costs associated with maintaining the franchise license.</w:t>
      </w:r>
    </w:p>
    <w:p>
      <w:pPr>
        <w:spacing w:after="0" w:line="1" w:lineRule="exact"/>
        <w:rPr>
          <w:rFonts w:ascii="Arial" w:cs="Arial" w:eastAsia="Arial" w:hAnsi="Arial"/>
          <w:sz w:val="18"/>
          <w:szCs w:val="18"/>
          <w:color w:val="auto"/>
        </w:rPr>
      </w:pPr>
    </w:p>
    <w:p>
      <w:pPr>
        <w:ind w:left="640" w:hanging="314"/>
        <w:spacing w:after="0" w:line="232" w:lineRule="auto"/>
        <w:tabs>
          <w:tab w:leader="none" w:pos="64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Our results of operations are highly dependent on the management of our hotel properties by third-party hotel management companies.</w:t>
      </w:r>
    </w:p>
    <w:p>
      <w:pPr>
        <w:ind w:left="640" w:right="20" w:hanging="314"/>
        <w:spacing w:after="0" w:line="253"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future pandemic, epidemic or outbreak of any highly infectious disease could cause widespread disruption in the U.S., regional and global economies, travel and the hospitality industry and could materially and adversely impact our business, financial condition and results of operations.</w:t>
      </w:r>
    </w:p>
    <w:p>
      <w:pPr>
        <w:ind w:left="640" w:hanging="314"/>
        <w:spacing w:after="0" w:line="246"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Many of our costs, such as operating expenses, interest expense and acquisition and renovation costs, could be adversely impacted by periods of heightened inflation, by an increase in tariffs or any increase in costs due to supply chain issues.</w:t>
      </w:r>
    </w:p>
    <w:p>
      <w:pPr>
        <w:spacing w:after="0" w:line="1" w:lineRule="exact"/>
        <w:rPr>
          <w:rFonts w:ascii="Arial" w:cs="Arial" w:eastAsia="Arial" w:hAnsi="Arial"/>
          <w:sz w:val="18"/>
          <w:szCs w:val="18"/>
          <w:color w:val="auto"/>
        </w:rPr>
      </w:pPr>
    </w:p>
    <w:p>
      <w:pPr>
        <w:ind w:left="640" w:hanging="314"/>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interest rates and/or the unavailability of certain types of financing could make it difficult for us to finance properties and adversely impact the amounts, sources and costs of capital available to us in the future.</w:t>
      </w:r>
    </w:p>
    <w:p>
      <w:pPr>
        <w:ind w:left="640" w:right="20" w:hanging="314"/>
        <w:spacing w:after="0" w:line="246"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The terms of the agreements governing our outstanding indebtedness may limit our financial and operating activities and our ability to make distributions to our stockholders and may also adversely affect our ability to incur additional debt to fund future needs.</w:t>
      </w:r>
    </w:p>
    <w:p>
      <w:pPr>
        <w:spacing w:after="0" w:line="1" w:lineRule="exact"/>
        <w:rPr>
          <w:rFonts w:ascii="Arial" w:cs="Arial" w:eastAsia="Arial" w:hAnsi="Arial"/>
          <w:sz w:val="18"/>
          <w:szCs w:val="18"/>
          <w:color w:val="auto"/>
        </w:rPr>
      </w:pPr>
    </w:p>
    <w:p>
      <w:pPr>
        <w:ind w:left="640" w:hanging="314"/>
        <w:spacing w:after="0"/>
        <w:tabs>
          <w:tab w:leader="none" w:pos="64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maintain our qualification as a REIT would have significant adverse consequences to the value of our common stock.</w:t>
      </w:r>
    </w:p>
    <w:p>
      <w:pPr>
        <w:spacing w:after="0" w:line="6" w:lineRule="exact"/>
        <w:rPr>
          <w:rFonts w:ascii="Arial" w:cs="Arial" w:eastAsia="Arial" w:hAnsi="Arial"/>
          <w:sz w:val="18"/>
          <w:szCs w:val="18"/>
          <w:color w:val="auto"/>
        </w:rPr>
      </w:pPr>
    </w:p>
    <w:p>
      <w:pPr>
        <w:ind w:left="640" w:hanging="314"/>
        <w:spacing w:after="0" w:line="24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hotels are subject to risks from natural disasters, climate change, terrorism, pandemics, and other catastrophic events, which may not be fully covered by insurance and could materially and adversely affect our business.</w:t>
      </w:r>
    </w:p>
    <w:p>
      <w:pPr>
        <w:spacing w:after="0" w:line="1" w:lineRule="exact"/>
        <w:rPr>
          <w:rFonts w:ascii="Times New Roman" w:cs="Times New Roman" w:eastAsia="Times New Roman" w:hAnsi="Times New Roman"/>
          <w:sz w:val="18"/>
          <w:szCs w:val="18"/>
          <w:color w:val="auto"/>
        </w:rPr>
      </w:pPr>
    </w:p>
    <w:p>
      <w:pPr>
        <w:ind w:left="640" w:hanging="314"/>
        <w:spacing w:after="0" w:line="246"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We depend on senior executive officers whose continued service is not guaranteed, and changes in our senior executive officers may adversely affect the operation of our business.</w:t>
      </w:r>
    </w:p>
    <w:p>
      <w:pPr>
        <w:spacing w:after="0" w:line="1" w:lineRule="exact"/>
        <w:rPr>
          <w:rFonts w:ascii="Arial" w:cs="Arial" w:eastAsia="Arial" w:hAnsi="Arial"/>
          <w:sz w:val="18"/>
          <w:szCs w:val="18"/>
          <w:color w:val="auto"/>
        </w:rPr>
      </w:pPr>
    </w:p>
    <w:p>
      <w:pPr>
        <w:jc w:val="both"/>
        <w:ind w:left="640" w:hanging="314"/>
        <w:spacing w:after="0" w:line="246"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We and our hotel managers rely on information technology in our operations and any material failures, inadequacies, interruptions, security failures, or cybersecurity incidents related to our or our hotel managers’ information technologies and systems could harm our business and adversely impact our results of operations.</w:t>
      </w:r>
    </w:p>
    <w:p>
      <w:pPr>
        <w:spacing w:after="0" w:line="2" w:lineRule="exact"/>
        <w:rPr>
          <w:rFonts w:ascii="Arial" w:cs="Arial" w:eastAsia="Arial" w:hAnsi="Arial"/>
          <w:sz w:val="18"/>
          <w:szCs w:val="18"/>
          <w:color w:val="auto"/>
        </w:rPr>
      </w:pPr>
    </w:p>
    <w:p>
      <w:pPr>
        <w:ind w:left="640" w:hanging="314"/>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or failure to adopt advancements in information technology, such as artificial intelligence, may hinder or prevent us from achieving strategic objectives or otherwise harm our business.</w:t>
      </w:r>
    </w:p>
    <w:p>
      <w:pPr>
        <w:ind w:left="640" w:hanging="314"/>
        <w:spacing w:after="0" w:line="246"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Even if we maintain our status as a REIT, in certain circumstances, we may be subject to federal and state income taxes, which would reduce our cash available for distribution to our stockholders.</w:t>
      </w:r>
    </w:p>
    <w:p>
      <w:pPr>
        <w:spacing w:after="0" w:line="1" w:lineRule="exact"/>
        <w:rPr>
          <w:rFonts w:ascii="Arial" w:cs="Arial" w:eastAsia="Arial" w:hAnsi="Arial"/>
          <w:sz w:val="18"/>
          <w:szCs w:val="18"/>
          <w:color w:val="auto"/>
        </w:rPr>
      </w:pPr>
    </w:p>
    <w:p>
      <w:pPr>
        <w:ind w:left="640" w:hanging="314"/>
        <w:spacing w:after="0" w:line="246"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We may be subject to litigation, which could have a material adverse effect on our financial condition, results of operations, cash flow and trading price of our common stock.</w:t>
      </w:r>
    </w:p>
    <w:p>
      <w:pPr>
        <w:spacing w:after="0" w:line="1" w:lineRule="exact"/>
        <w:rPr>
          <w:rFonts w:ascii="Arial" w:cs="Arial" w:eastAsia="Arial" w:hAnsi="Arial"/>
          <w:sz w:val="18"/>
          <w:szCs w:val="18"/>
          <w:color w:val="auto"/>
        </w:rPr>
      </w:pPr>
    </w:p>
    <w:p>
      <w:pPr>
        <w:ind w:left="640" w:hanging="314"/>
        <w:spacing w:after="0" w:line="253" w:lineRule="auto"/>
        <w:tabs>
          <w:tab w:leader="none" w:pos="63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We must comply with applicable governmental regulations, including, without limitation, the Americans with Disabilities Act, which could be costly.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ind w:left="640" w:hanging="314"/>
        <w:spacing w:after="0" w:line="25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stockholders to control our policies and effect a change of control of our company is limited by certain provisions of our charter, our bylaws and by Maryland law.</w:t>
      </w:r>
    </w:p>
    <w:p>
      <w:pPr>
        <w:ind w:left="640" w:hanging="314"/>
        <w:spacing w:after="0" w:line="253" w:lineRule="auto"/>
        <w:tabs>
          <w:tab w:leader="none" w:pos="635"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We may be unable to generate sufficient cash flows from our operations to make distributions to our stockholders at expected levels, and we cannot assure you of our ability to make distributions in the future.</w:t>
      </w:r>
    </w:p>
    <w:p>
      <w:pPr>
        <w:spacing w:after="0" w:line="210"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This section contains forward-looking statements. You should refer to the explanation of the qualifications and limitations on forward-looking statements beginning on page 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8"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DiamondRock Hospitality Company is a self-managed and self-administered lodging-focused real estate investment trust ("REIT") that owns a portfolio of premium hotels and resorts. As of December 31, 2025, we owned 35 hotels with 9,595 rooms located in 26 markets in the United States. The markets that we target for ownership are those that we believe align with our strategic objectives, which include those in destination markets with constrained supply trends, those that provide geographic diversity relative to our existing portfolio, and those we consider to have high demand growth potential. Each hotel is positioned to maximize its cash flow and value; accordingly, we choose to operate nearly 40% of our portfolio as an independent hotel and the remainder are operated under a brand owned by one of the leading global lodging brand companies (Marriott International, Hilton Worldwide, or IHG Hotels &amp; Resorts).</w:t>
      </w:r>
    </w:p>
    <w:p>
      <w:pPr>
        <w:spacing w:after="0" w:line="21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We are an owner, as opposed to an operator, of the hotels in our portfolio. As an owner, we receive all operating profits or losses generated by our hotels after we pay fees to the hotel managers, which are based on the revenues and profitability of the hotels, and the hotel brands, in certain cases, which are based on the revenues of the hotels.</w:t>
      </w:r>
    </w:p>
    <w:p>
      <w:pPr>
        <w:spacing w:after="0" w:line="204"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Our goal is to deliver long-term stockholder returns that exceed those generated by our peers through a combination of dividends and enduring capital appreciation. We are committed to following sound corporate governance practices and to maintaining transparent communications with our stockholders.</w:t>
      </w:r>
    </w:p>
    <w:p>
      <w:pPr>
        <w:spacing w:after="0" w:line="190"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Our primary business is to acquire, own, renovate and asset manage premium hotel properties in the United States. All of our hotels are managed by a third party, either an independent operator or a brand operator, such as Marriott.</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Company</w:t>
      </w:r>
    </w:p>
    <w:p>
      <w:pPr>
        <w:spacing w:after="0" w:line="250" w:lineRule="exact"/>
        <w:rPr>
          <w:sz w:val="20"/>
          <w:szCs w:val="20"/>
          <w:color w:val="auto"/>
        </w:rPr>
      </w:pPr>
    </w:p>
    <w:p>
      <w:pPr>
        <w:jc w:val="both"/>
        <w:ind w:right="20" w:firstLine="400"/>
        <w:spacing w:after="0" w:line="276" w:lineRule="auto"/>
        <w:rPr>
          <w:sz w:val="20"/>
          <w:szCs w:val="20"/>
          <w:color w:val="auto"/>
        </w:rPr>
      </w:pPr>
      <w:r>
        <w:rPr>
          <w:rFonts w:ascii="Times New Roman" w:cs="Times New Roman" w:eastAsia="Times New Roman" w:hAnsi="Times New Roman"/>
          <w:sz w:val="18"/>
          <w:szCs w:val="18"/>
          <w:color w:val="auto"/>
        </w:rPr>
        <w:t>We commenced operations in July 2004 and became a public reporting company in May 2005. Our common stock is listed and traded on The Nasdaq Stock Market LLC (the "Nasdaq") under the symbol “DRH”.</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Business Strategy</w:t>
      </w:r>
    </w:p>
    <w:p>
      <w:pPr>
        <w:spacing w:after="0" w:line="250"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Our strategy is to drive long-term value through active asset management, disciplined capital allocation and a conservative balance sheet. We regularly assess the availability and cost of capital to maximize stockholder value and minimize enterprise risk. We plan to strategically allocate capital based on our cost of capital and market conditions. If our cost of capital is attractive, we expect to:</w:t>
      </w:r>
    </w:p>
    <w:p>
      <w:pPr>
        <w:spacing w:after="0" w:line="204" w:lineRule="exact"/>
        <w:rPr>
          <w:sz w:val="20"/>
          <w:szCs w:val="20"/>
          <w:color w:val="auto"/>
        </w:rPr>
      </w:pPr>
    </w:p>
    <w:p>
      <w:pPr>
        <w:ind w:left="720" w:hanging="154"/>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value-enhancing capital projects across our portfolio;</w:t>
      </w:r>
    </w:p>
    <w:p>
      <w:pPr>
        <w:spacing w:after="0" w:line="246" w:lineRule="exact"/>
        <w:rPr>
          <w:rFonts w:ascii="Times New Roman" w:cs="Times New Roman" w:eastAsia="Times New Roman" w:hAnsi="Times New Roman"/>
          <w:sz w:val="18"/>
          <w:szCs w:val="18"/>
          <w:color w:val="auto"/>
        </w:rPr>
      </w:pPr>
    </w:p>
    <w:p>
      <w:pPr>
        <w:ind w:left="720" w:hanging="154"/>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acquisitions in line with our target asset type;</w:t>
      </w:r>
    </w:p>
    <w:p>
      <w:pPr>
        <w:spacing w:after="0" w:line="246" w:lineRule="exact"/>
        <w:rPr>
          <w:rFonts w:ascii="Times New Roman" w:cs="Times New Roman" w:eastAsia="Times New Roman" w:hAnsi="Times New Roman"/>
          <w:sz w:val="18"/>
          <w:szCs w:val="18"/>
          <w:color w:val="auto"/>
        </w:rPr>
      </w:pPr>
    </w:p>
    <w:p>
      <w:pPr>
        <w:ind w:left="720" w:hanging="154"/>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opportunistically raising equity; and</w:t>
      </w:r>
    </w:p>
    <w:p>
      <w:pPr>
        <w:spacing w:after="0" w:line="246" w:lineRule="exact"/>
        <w:rPr>
          <w:sz w:val="20"/>
          <w:szCs w:val="20"/>
          <w:color w:val="auto"/>
        </w:rPr>
      </w:pPr>
    </w:p>
    <w:p>
      <w:pPr>
        <w:ind w:firstLine="400"/>
        <w:spacing w:after="0" w:line="276" w:lineRule="auto"/>
        <w:rPr>
          <w:sz w:val="20"/>
          <w:szCs w:val="20"/>
          <w:color w:val="auto"/>
        </w:rPr>
      </w:pPr>
      <w:r>
        <w:rPr>
          <w:rFonts w:ascii="Times New Roman" w:cs="Times New Roman" w:eastAsia="Times New Roman" w:hAnsi="Times New Roman"/>
          <w:sz w:val="18"/>
          <w:szCs w:val="18"/>
          <w:color w:val="auto"/>
        </w:rPr>
        <w:t>If we believe our cost of capital is elevated, we expect to create value over the long term to our stockholders by deploying investment capacity into share repurchases. Separately, we regularly evaluate opportunities to dispose of non-core hotels.</w:t>
      </w:r>
    </w:p>
    <w:p>
      <w:pPr>
        <w:spacing w:after="0" w:line="190" w:lineRule="exact"/>
        <w:rPr>
          <w:sz w:val="20"/>
          <w:szCs w:val="20"/>
          <w:color w:val="auto"/>
        </w:rPr>
      </w:pPr>
    </w:p>
    <w:p>
      <w:pPr>
        <w:ind w:firstLine="400"/>
        <w:spacing w:after="0" w:line="276" w:lineRule="auto"/>
        <w:rPr>
          <w:sz w:val="20"/>
          <w:szCs w:val="20"/>
          <w:color w:val="auto"/>
        </w:rPr>
      </w:pPr>
      <w:r>
        <w:rPr>
          <w:rFonts w:ascii="Times New Roman" w:cs="Times New Roman" w:eastAsia="Times New Roman" w:hAnsi="Times New Roman"/>
          <w:sz w:val="18"/>
          <w:szCs w:val="18"/>
          <w:color w:val="auto"/>
        </w:rPr>
        <w:t>We prefer a relatively efficient capital structure and generally structure our hotel investments to be straightforward; however, we will consider a more complex transaction (e.g. the issuance of operating partnership units to limited partners or</w:t>
      </w:r>
    </w:p>
    <w:p>
      <w:pPr>
        <w:sectPr>
          <w:pgSz w:w="11900" w:h="16838" w:orient="portrait"/>
          <w:cols w:equalWidth="0" w:num="1">
            <w:col w:w="11240"/>
          </w:cols>
          <w:pgMar w:left="320" w:top="359"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entry into a joint venture) if we believe that the projected returns to our stockholders will significantly exceed the returns that would otherwise be available.</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High-Quality Urban and Destination Resort Hotels</w:t>
      </w:r>
    </w:p>
    <w:p>
      <w:pPr>
        <w:spacing w:after="0" w:line="250"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7"/>
          <w:szCs w:val="17"/>
          <w:color w:val="auto"/>
        </w:rPr>
        <w:t>As of December 31, 2025, we owned 35 premium hotels and resorts throughout the United States. Our hotels and resorts are primarily categorized as luxury and upper upscale as defined by STR, Inc. and are generally located in high barrier-to-entry markets with multiple demand generators. Our portfolio is composed primarily of hotels and resorts located in popular leisure destinations and major urban markets. We consider lodging properties located in major urban markets and resort destinations to be the most capable of generating dynamic cash flow growth and achieving superior long-term capital appreciation.</w:t>
      </w:r>
    </w:p>
    <w:p>
      <w:pPr>
        <w:spacing w:after="0" w:line="194"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We have enhanced our hotel portfolio over the past several years by recycling capital from non-core hotels, located in slower growth markets or requiring a significant capital investment, to higher quality hotels located primarily in urban and destination resort markets that align with our strategic goals. Over 97% of revenues for the year ended December 31, 2025 were derived from core urban and resort destination hotels. Our capital recycling program has also achieved several other important strategic portfolio goals that include improving our portfolio’s geographic, climate, operator and brand diversity. In addition, we have repositioned certain of our hotels through a change in brand, comprehensive renovation and/or change in third-party hotel manager to a more efficient operator, which further improved our portfolio's brand and management diversity.</w:t>
      </w:r>
    </w:p>
    <w:p>
      <w:pPr>
        <w:spacing w:after="0" w:line="210"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We are highly sensitive to our cost of capital and may pursue acquisitions that create value in the near term. We will continue to evaluate opportunities to upgrade our portfolio by considering strategic acquisitions and opportunistic non-core hotel dispositions. Our acquisition strategy focuses primarily on hotels that we believe can be acquired at a discount to replacement cost and present unique value-add opportunities.</w:t>
      </w:r>
    </w:p>
    <w:p>
      <w:pPr>
        <w:spacing w:after="0" w:line="204"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We evaluate each hotel in our portfolio to assess the optimal brand and management strategy for the individual hotel and market. We leverage the leading global hotel brands at many of our hotels, which are flagged under a brand owned by Marriott International, Inc. (“Marriott”), Hilton Worldwide Holdings Inc. (“Hilton”) or IHG Hotels &amp; Resorts (“IHG”). We also maintain a portion of our hotels as independent lifestyle hotels. We believe that premier global hotel brands create significant value for certain hotels as a result of each brand's ability to produce incremental revenue through their strong reservation and loyalty rewards systems and sales organizations. We are also interested in owning independent or non-branded hotels located in premier or unique markets where we believe that the returns on such a hotel may be higher than if the hotel were operated under a globally-recognized brand.</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Innovative Asset Management</w:t>
      </w:r>
    </w:p>
    <w:p>
      <w:pPr>
        <w:spacing w:after="0" w:line="250"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We believe that we can create significant value in our portfolio through innovative asset management strategies such as rebranding, renovating and repositioning our hotels. We completed rebrandings at seven of our hotels since 2021. We regularly evaluate our portfolio to determine if there are additional opportunities to employ these value-add strategies.</w:t>
      </w:r>
    </w:p>
    <w:p>
      <w:pPr>
        <w:spacing w:after="0" w:line="204"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Our asset management team is focused on improving hotel profits through revenue management strategies and cost control programs. Our asset management team also focuses on identifying new and potential value creation opportunities across our portfolio, including implementing resort or amenity fees where appropriate, creating incremental guest rooms, leasing out restaurants to more profitable third-party operators, converting underutilized space to revenue-generating meeting space, marketing underutilized midweek bookings and implementing programs to reduce energy consumption and increase labor efficiency.</w:t>
      </w:r>
    </w:p>
    <w:p>
      <w:pPr>
        <w:spacing w:after="0" w:line="211"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Our senior management team has established a broad network of hotel industry contacts and relationships, including relationships with hotel owners, financiers, operators, project managers and contractors and other key industry participants. We use our broad network of hotel industry contacts and relationships to maximize the value of our hotels. We strive to negotiate management agreements that give us the right to exert influence over the management of our properties, annual budgets and all capital expenditures (all to the extent permitted under the REIT rules), and then to use those rights to continually monitor and improve the performance of our properties. We cooperatively partner with our hotel managers in an attempt to increase operating results and long-term asset values at our hotels. In addition to working directly with the personnel at our hotels, our senior management team also has long-standing professional relationships with our hotel managers' senior executives, and we work directly with these senior executives to improve the performance of our hotels.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Conservative Capital Structure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ind w:firstLine="400"/>
        <w:spacing w:after="0" w:line="241" w:lineRule="auto"/>
        <w:rPr>
          <w:sz w:val="20"/>
          <w:szCs w:val="20"/>
          <w:color w:val="auto"/>
        </w:rPr>
      </w:pPr>
      <w:r>
        <w:rPr>
          <w:rFonts w:ascii="Times New Roman" w:cs="Times New Roman" w:eastAsia="Times New Roman" w:hAnsi="Times New Roman"/>
          <w:sz w:val="18"/>
          <w:szCs w:val="18"/>
          <w:color w:val="auto"/>
        </w:rPr>
        <w:t>We believe that a conservative capital structure maximizes investment capacity while reducing enterprise risk. We currently employ a conservative debt profile with prudent leverage. We maintain balance sheet flexibility with our existing corporate cash, capacity under our senior unsecured credit facility and all of our hotels unencumbered by mortgage debt as of December 31, 2025. We prefer that a significant portion of our portfolio remain unencumbered by debt in order to provide maximum balance sheet flexibility. We believe it is prudent to reduce the inherent risk of highly cyclical lodging fundamentals through a low leverage capital structure. Over time, we intend to finance our long-term growth with issuances of common and preferred equity securities and debt financings having staggered maturities. We may also consider entering into joint ventures or alliances with one or more third parties to pursue attractive investment opportunities.</w:t>
      </w:r>
    </w:p>
    <w:p>
      <w:pPr>
        <w:spacing w:after="0" w:line="211"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We believe that our strategically designed capital structure is a value creation tool that can be used over the entire lodging cycle. Specifically, we believe that lower leverage benefits us in the following ways:</w:t>
      </w:r>
    </w:p>
    <w:p>
      <w:pPr>
        <w:spacing w:after="0" w:line="190" w:lineRule="exact"/>
        <w:rPr>
          <w:sz w:val="20"/>
          <w:szCs w:val="20"/>
          <w:color w:val="auto"/>
        </w:rPr>
      </w:pPr>
    </w:p>
    <w:p>
      <w:pPr>
        <w:ind w:left="720" w:hanging="154"/>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provides capacity to fund attractive acquisitions;</w:t>
      </w:r>
    </w:p>
    <w:p>
      <w:pPr>
        <w:spacing w:after="0" w:line="246" w:lineRule="exact"/>
        <w:rPr>
          <w:rFonts w:ascii="Times New Roman" w:cs="Times New Roman" w:eastAsia="Times New Roman" w:hAnsi="Times New Roman"/>
          <w:sz w:val="18"/>
          <w:szCs w:val="18"/>
          <w:color w:val="auto"/>
        </w:rPr>
      </w:pPr>
    </w:p>
    <w:p>
      <w:pPr>
        <w:ind w:left="720" w:hanging="154"/>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enhances our ability to maintain a sustainable dividend;</w:t>
      </w:r>
    </w:p>
    <w:p>
      <w:pPr>
        <w:spacing w:after="0" w:line="246" w:lineRule="exact"/>
        <w:rPr>
          <w:rFonts w:ascii="Times New Roman" w:cs="Times New Roman" w:eastAsia="Times New Roman" w:hAnsi="Times New Roman"/>
          <w:sz w:val="18"/>
          <w:szCs w:val="18"/>
          <w:color w:val="auto"/>
        </w:rPr>
      </w:pPr>
    </w:p>
    <w:p>
      <w:pPr>
        <w:ind w:left="720" w:hanging="154"/>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us to opportunistically repurchase shares during periods of stock price dislocation; and</w:t>
      </w:r>
    </w:p>
    <w:p>
      <w:pPr>
        <w:spacing w:after="0" w:line="246" w:lineRule="exact"/>
        <w:rPr>
          <w:rFonts w:ascii="Times New Roman" w:cs="Times New Roman" w:eastAsia="Times New Roman" w:hAnsi="Times New Roman"/>
          <w:sz w:val="18"/>
          <w:szCs w:val="18"/>
          <w:color w:val="auto"/>
        </w:rPr>
      </w:pPr>
    </w:p>
    <w:p>
      <w:pPr>
        <w:ind w:left="720" w:hanging="154"/>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provides capacity to fund late-cycle capital needs.</w:t>
      </w:r>
    </w:p>
    <w:p>
      <w:pPr>
        <w:spacing w:after="0" w:line="246"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As of December 31, 2025, our outstanding debt consists of unsecured term loans, and we had no outstanding borrowings under our senior unsecured credit facility. We expect that our strategy will enable us to maintain a balance sheet with an appropriate amount of debt throughout all phases of the lodging cycle.</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Corporate Responsibility</w:t>
      </w:r>
    </w:p>
    <w:p>
      <w:pPr>
        <w:spacing w:after="0" w:line="250"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Our Corporate Responsibility program incorporates governance, environmental, and social initiatives in our overall business strategy, investment decisions and asset management strategies. Our Corporate Responsibility program is guided by executive and board-level oversight. The Nominating and Corporate Governance Committee is assigned to oversee the policies, strategy, and implementation of the program. In 2025, as a result of our commitment to sustainability, we were ranked first in our Hotel / United States comparison group for the GRESB Public Disclosure Report and third within the Hotel / Americas peer set for the GRESB Real Estate Benchmark Report.</w:t>
      </w:r>
    </w:p>
    <w:p>
      <w:pPr>
        <w:spacing w:after="0" w:line="211"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are committed to transparent reporting of our corporate responsibility initiatives. In January 2026, we published our most recent annual Corporate Responsibility Report. The annual Corporate Responsibility Report is prepared in accordance with relevant international standards and best practices, including standards developed for the real estate sector by the International Financial Reporting Standards (“IFRS”) Foundation, which was formerly known as the Sustainable Accounting Standards Board.</w:t>
      </w:r>
    </w:p>
    <w:p>
      <w:pPr>
        <w:spacing w:after="0" w:line="206"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Accounting metrics and disclosures for the real estate industry are provided by the IFRS Foundation, which publishes the Real Estate Sustainability Accounting Standard. This standard advises that total energy consumed (“Total Energy Consumption”) and total water withdrawn (“Total Water Consumption”) are the metrics that best correspond with the real estate industry. The water and energy data we use is first gathered from utility statements and then reviewed, aggregated, and analyzed by third-parties.</w:t>
      </w:r>
    </w:p>
    <w:p>
      <w:pPr>
        <w:spacing w:after="0" w:line="206"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Beginning in 2021, we engaged an independent third party to verify our energy and water consumption data. The following charts display our Total Energy Consumption and Total Water Consumption for 2022 2023, and 2024, the last fiscal year for which data is available. These metrics relate to our hotels owned for the entire year presented.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211455</wp:posOffset>
            </wp:positionV>
            <wp:extent cx="5788660" cy="1607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88660" cy="160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We display key metrics, documents, programs and policies through the Global Reporting Initiative (“GRI”) Index, and in accordance with the GRI framework. We also display disclosures in accordance with the framework established by the Task Force on Climate-Related Financial Disclosures.</w:t>
      </w:r>
    </w:p>
    <w:p>
      <w:pPr>
        <w:spacing w:after="0" w:line="190"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Annually, we submit a response to the GRESB survey (the “GRESB Report”) which benchmarks our approach and performance on environmental, social and governance indicators against other real estate companies. The GRESB Report is accessible on our website. The information included in or otherwise accessible through the GRESB Report is not incorporated by reference in, or considered to be a part of, this Annual Report on Form 10-K or any other document unless expressly incorporated by reference therein.</w:t>
      </w:r>
    </w:p>
    <w:p>
      <w:pPr>
        <w:spacing w:after="0" w:line="206"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For more information on our Corporate Responsibility program, as well as our enterprise-wide policies, please see our current Corporate Responsibility Report available at https://investor.drhc.com/sustainability-report. The information included in or otherwise accessible through our website is not incorporated by reference in, or considered to be part of, this Annual Report on Form 10-K or any other document unless expressly incorporated by reference therein.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248"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We conduct our business through a traditional umbrella partnership REIT, or UPREIT, in which our hotels are owned by subsidiaries of our operating partnership, DiamondRock Hospitality Limited Partnership. We are the sole general partner of our operating partnership and own either directly or indirectly 99.5% of the limited partnership units (“common OP units”) of our operating partnership. The remaining 0.5% of the common OP units are held by third parties and current and former executive officers of the Company. Each common OP unit currently owned by holders other than us is redeemable, at the option of the holder, for an amount of cash equal to the market value of one share of our common stock or, at our election, one share of our common stock, in each case subject to adjustment upon the occurrence of stock splits, mergers, consolidations or similar pro-rata share transactions. As of December 31, 2025, limited partners held 1,041,362 common OP units. We may issue additional common OP units from time to time in connection with acquiring hotel properties, financing, compensation, or other reasons.</w:t>
      </w:r>
    </w:p>
    <w:p>
      <w:pPr>
        <w:spacing w:after="0" w:line="214"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In order for the income from our hotel investments to constitute “rents from real property” for purposes of the gross income tests required for REIT qualification, we must lease each of our hotels to our taxable REIT subsidiaries, or TRS, or a wholly-owned subsidiary thereof (each, a TRS lessee), or to an unrelated third party. In turn, our TRS lessees must engage a third-party management company to manage the hotels. As of December 31, 2025, we leased all of our hotels to TRS lessees, except for one hotel that is directly owned by a TRS.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chart shows our corporate structure as of the date of this report: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211455</wp:posOffset>
            </wp:positionV>
            <wp:extent cx="5196205" cy="4730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96205" cy="473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8"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The hotel industry is highly competitive and our hotels are subject to competition from other hotels for guests. Competition is based on a number of factors, including convenience of location, reputation, brand affiliation, price, range of services, guest amenities, and quality of customer service. Competition is specific to the individual markets in which our properties are located and will include competition from existing and new hotels operated under brands in the full-service, select-service and extended-stay segments. We believe that properties flagged with a Marriott, Hilton or IHG-affiliated brand will enjoy the competitive advantages associated with their operations under such brand. We believe these global brands' reservation systems and national advertising, marketing and promotional services combined with strong management by third-party operators enable our properties to perform favorably in terms of both occupancy and room rates relative to other brands and non-branded hotels. The guest loyalty programs operated by these global brands can be a cost-effective source of guest demand that might otherwise go to competing hotels. Increased competition may have a material adverse effect on occupancy, Average Daily Rate (or ADR) and Revenue per Available Room (or RevPAR), or may require us to make capital improvements that we otherwise would not undertake, which may result in a decrease in the profitability of our hotels, reduce cash flow available for distribution, increase capital requirements, and adversely affect the value and returns of our hotels.</w:t>
      </w:r>
    </w:p>
    <w:p>
      <w:pPr>
        <w:spacing w:after="0" w:line="20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18"/>
          <w:szCs w:val="18"/>
          <w:color w:val="auto"/>
        </w:rPr>
        <w:t>In addition to competing with traditional hotels and lodging facilities, we compete with alternative lodging, including third-party internet travel intermediaries, peer-to-peer inventory sources that allow travelers to stay at homes and apartments booked directly from owners, and other third-party providers of short-term rental properties and serviced apartments. We compete based on a number of factors, including room rates, quality of accommodations, service levels, convenience of location, reputation, reservation systems, brand recognition and supply and availability of alternative lodging.</w:t>
      </w:r>
    </w:p>
    <w:p>
      <w:pPr>
        <w:sectPr>
          <w:pgSz w:w="11900" w:h="16838" w:orient="portrait"/>
          <w:cols w:equalWidth="0" w:num="1">
            <w:col w:w="11240"/>
          </w:cols>
          <w:pgMar w:left="320" w:top="3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face competition for the acquisition of hotels from institutional pension funds, private equity funds, REITs, hotel companies and others who are engaged in hotel acquisitions and investments. Some of these competitors have substantially greater financial and operational resources than we have and may have greater knowledge of the markets in which we seek to invest. This competition may reduce the number of suitable investment opportunities offered to us and increase the cost of acquiring our targeted hotel investments.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48"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periods during which our hotels experience higher revenues vary from property to property, depending principally upon location and the customer base served. Accordingly, we expect some seasonality in our business. Volatility in our financial performance from the seasonality of the lodging industry could adversely affect our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48"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Compliance with various governmental regulations has an impact on our business, including our capital expenditures, earnings and competitive position, which can be material. We incur costs to monitor and take actions to comply with governmental regulations that are applicable to our business, which include, among others, federal securities laws and regulations, applicable stock exchange requirements, REIT and other tax laws and regulations, environmental and health and safety laws and regulations, local zoning, usage and other regulations relating to real property and the Americans with Disabilities Act of 1990.</w:t>
      </w:r>
    </w:p>
    <w:p>
      <w:pPr>
        <w:spacing w:after="0" w:line="211"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See “Item 1A – Risk Factors” for a discussion of material risks to us, including, to the extent material, to our competitive position, relating to governmental regulations, and see “Item 7. Management’s Discussion and Analysis of Financial Condition and Results of Operations” together with our consolidated financial statements, including the related notes included therein, for a discussion of material information relevant to an assessment of our financial condition and results of operations, including, to the extent material, the effects that compliance with governmental regulations may have upon our capital expenditures and earnings.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48" w:lineRule="exact"/>
        <w:rPr>
          <w:sz w:val="20"/>
          <w:szCs w:val="20"/>
          <w:color w:val="auto"/>
        </w:rPr>
      </w:pPr>
    </w:p>
    <w:p>
      <w:pPr>
        <w:jc w:val="both"/>
        <w:ind w:firstLine="400"/>
        <w:spacing w:after="0" w:line="242" w:lineRule="auto"/>
        <w:rPr>
          <w:sz w:val="20"/>
          <w:szCs w:val="20"/>
          <w:color w:val="auto"/>
        </w:rPr>
      </w:pPr>
      <w:r>
        <w:rPr>
          <w:rFonts w:ascii="Times New Roman" w:cs="Times New Roman" w:eastAsia="Times New Roman" w:hAnsi="Times New Roman"/>
          <w:sz w:val="18"/>
          <w:szCs w:val="18"/>
          <w:color w:val="auto"/>
        </w:rPr>
        <w:t>The Company is headquartered in Bethesda, Maryland. As of December 31, 2025, we employed 35 full-time employees and did not have any part-time employees. None of our employees are members of any union. All employees involved in the day-to-day operation of our hotels are employed by third-party management companies engaged pursuant to hotel management agreements. The employees of our hotel managers at the Courtyard New York Manhattan/Fifth Avenue, Courtyard New York Manhattan/Midtown East, Hilton Garden Inn New York/Times Square Central, Westin Boston Seaport District and The Dagny Boston are currently represented by labor unions and are subject to collective bargaining agreements.</w:t>
      </w:r>
    </w:p>
    <w:p>
      <w:pPr>
        <w:spacing w:after="0" w:line="223"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We believe prioritizing employee well-being is a key element for attracting and retaining the best and most talented employees. Our key human capital management objectives are to attract, recruit, hire, develop and promote a deep bench of talent that translates into a strong and successful workforce. To support these objectives, our human resources programs are designed to develop talent to prepare them for the critical roles and leadership positions of the future; reward and support employees through competitive pay and benefit programs; enhance our culture that is focused on providing a work environment that is free from any form of discrimination of harassment for any protected class; and evolve and invest in technology, tools, and resources to enable employees at work.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48"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We carry comprehensive property insurance and general liability insurance, including fire, extended coverage, windstorm, business interruption and rental loss insurance covering all of the properties in our portfolio. In addition, we carry earthquake, pollution and terrorism insurance on our properties in an amount and with deductibles which we believe are commercially reasonable. We do not carry insurance for generally uninsurable losses such as loss from riots, war or acts of God. Certain of our properties are located in areas known to be seismically active or subject to hurricanes and we believe that we have appropriate insurance for those risks, although they are subject to higher deductibles than ordinary property insurance.</w:t>
      </w:r>
    </w:p>
    <w:p>
      <w:pPr>
        <w:spacing w:after="0" w:line="211"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Most of our hotel management agreements and our credit agreement require that we obtain and maintain property insurance, business interruption insurance, flood insurance, earthquake insurance (if the hotel is located in an “earthquake prone zone” as determined by the U.S. Geological Survey) and other customary types of insurance related to hotels. We comply with</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all such requirements. In addition, either we or the hotel manager are responsible for obtaining general liability insurance, workers' compensation and employer's liability insurance.</w:t>
      </w:r>
    </w:p>
    <w:p>
      <w:pPr>
        <w:spacing w:after="0" w:line="190"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We may adjust our insurance coverage based on market conditions or changes in a property's risks or exposures. We may incur losses, including material losses, due to uninsured risks, deductibles, or losses that exceed our coverage limits.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Tax Legislation</w:t>
      </w:r>
    </w:p>
    <w:p>
      <w:pPr>
        <w:spacing w:after="0" w:line="248" w:lineRule="exact"/>
        <w:rPr>
          <w:sz w:val="20"/>
          <w:szCs w:val="20"/>
          <w:color w:val="auto"/>
        </w:rPr>
      </w:pPr>
    </w:p>
    <w:p>
      <w:pPr>
        <w:jc w:val="both"/>
        <w:ind w:firstLine="400"/>
        <w:spacing w:after="0" w:line="273" w:lineRule="auto"/>
        <w:rPr>
          <w:sz w:val="20"/>
          <w:szCs w:val="20"/>
          <w:color w:val="auto"/>
        </w:rPr>
      </w:pPr>
      <w:r>
        <w:rPr>
          <w:rFonts w:ascii="Times New Roman" w:cs="Times New Roman" w:eastAsia="Times New Roman" w:hAnsi="Times New Roman"/>
          <w:sz w:val="17"/>
          <w:szCs w:val="17"/>
          <w:color w:val="auto"/>
        </w:rPr>
        <w:t>In July 2025, certain changes to U.S. tax law were enacted that impact us and our stockholders. Among other changes, this legislation (i) permanently extends the 20% deduction for “qualified REIT dividends” for individuals and other non-corporate taxpayers under Section 199A of the Code, (ii) increases the percentage limit under the REIT asset test applicable to taxable REIT subsidiaries from 20% to 25% for taxable years beginning after December 31, 2025, and (iii) increases the base on which the 30% interest deduction limit under Section 163(j) of the Code applies by excluding depreciation, amortization, and depletion from the definition of “adjusted taxable income” (i.e., based on EBITDA rather than EBIT) for taxable years beginning after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48"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We maintain a website at the following address: www.drhc.com. We make our proxy statements, annual reports on Form 10-K, quarterly reports on Form 10-Q, current reports on Form 8-K, including exhibits, and amendments to those reports, filed or furnished pursuant to Section 13(a) or 15(d) of the Securities Exchange Act of 1934, as amended (the “Exchange Act”), available on our website free of charge as soon as reasonably practicable after such reports and amendments are electronically filed with, or furnished to, the Securities and Exchange Commission (the “SEC”). Such reports are also available by accessing the EDGAR database on the SEC's website at www.sec.gov.</w:t>
      </w:r>
    </w:p>
    <w:p>
      <w:pPr>
        <w:spacing w:after="0" w:line="211"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Our website is also a key source of important information about us. We post to the Investor Relations section of our website important information about our business, our operating results and our financial condition and prospects, including, for example, information about material acquisitions and dispositions, our earnings releases and certain supplemental financial information related or complementary thereto. The website also has a Corporate Governance page that includes, among other things, copies of our charter, our bylaws, our Code of Business Conduct and Ethics and the charters for each standing committee of our Board of Directors: currently, the Audit Committee, the Compensation Committee and the Nominating and Corporate Governance Committee. We intend to disclose on our website any amendment to, or waiver of, any provisions of our Code of Business Conduct and Ethics that apply to any of our directors, executive officers or senior financial officers that would otherwise be required to be disclosed under the rules of the SEC or the NYSE. Copies of our charter, our bylaws, our Code of Business Conduct and Ethics and our SEC reports are also available in print to stockholders upon request addressed to Investor Relations, DiamondRock Hospitality Company, 7373 Wisconsin Avenue, Suite 1900, Bethesda, Maryland 20814 or through the “Information Request” section on the Investor Relations page of our website.</w:t>
      </w:r>
    </w:p>
    <w:p>
      <w:pPr>
        <w:spacing w:after="0" w:line="216"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information included in or otherwise accessible through our website is not incorporated by reference in, or considered to be a part of, this Annual Report on Form 10-K or any other document unless expressly incorporated by reference therein.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Material U.S. Federal Income Tax Considerations</w:t>
      </w:r>
    </w:p>
    <w:p>
      <w:pPr>
        <w:spacing w:after="0" w:line="248"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The following discussion supplements and updates the disclosure under “Material U.S. Federal Income Tax Considerations” in the prospectus dated August 5, 2024 contained in our Registration Statement on Form S-3 filed with the SEC on August 5, 2024 (such disclosure, the “Base Disclosure”). Capitalized terms used in this section that are not otherwise defined shall have the same meaning as when used in the Base Disclosure.</w:t>
      </w:r>
    </w:p>
    <w:p>
      <w:pPr>
        <w:spacing w:after="0" w:line="204" w:lineRule="exact"/>
        <w:rPr>
          <w:sz w:val="20"/>
          <w:szCs w:val="20"/>
          <w:color w:val="auto"/>
        </w:rPr>
      </w:pPr>
    </w:p>
    <w:p>
      <w:pPr>
        <w:jc w:val="both"/>
        <w:ind w:firstLine="400"/>
        <w:spacing w:after="0" w:line="284" w:lineRule="auto"/>
        <w:rPr>
          <w:sz w:val="20"/>
          <w:szCs w:val="20"/>
          <w:color w:val="auto"/>
        </w:rPr>
      </w:pPr>
      <w:r>
        <w:rPr>
          <w:rFonts w:ascii="Times New Roman" w:cs="Times New Roman" w:eastAsia="Times New Roman" w:hAnsi="Times New Roman"/>
          <w:sz w:val="17"/>
          <w:szCs w:val="17"/>
          <w:color w:val="auto"/>
        </w:rPr>
        <w:t>The fifth sentence of the third paragraph under the heading “Material U.S. Federal Income Tax – Qualification as a REIT – Hotels” is hereby deleted. The sixth sentence of the same paragraph is hereby deleted and replaced with the following: “The furniture, fixtures and equipment owned by us (not through our TRS lessees) account for a small portion (under 15%), determined under the methodology described above) of the total rent we receive from our lessees.”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0"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Set forth below are the risks that we believe are material to our investors and should be carefully considered. These risks are not all of the risks we face and other factors not presently known to us or that we currently believe are immaterial may also affect our business if they occur. This section contains forward-looking statements. You should refer to the explanation of the qualifications and limitations on forward-looking statements beginning on page 4.</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especially our concentration in premium full-service hotels, can be highly volatile.</w:t>
      </w:r>
    </w:p>
    <w:p>
      <w:pPr>
        <w:spacing w:after="0" w:line="250"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We own hotels, which may be a more volatile asset class than those owned by other REITs. A typical healthcare REIT, for example, has long-term leases with third-party tenants, which provide a relatively stable long-term stream of revenue. Our TRS lessees, on the other hand, engage a hotel manager pursuant to a management agreement and pay the manager a fee for managing the hotel. The TRS lessee receives all of the operating profit or losses at the hotel rather than predictable rent. Most hotel guests stay at the hotel for only a few nights, so the rate and occupancy at each of our hotels changes every day. As a result, our earnings may be highly volatile.</w:t>
      </w:r>
    </w:p>
    <w:p>
      <w:pPr>
        <w:spacing w:after="0" w:line="211" w:lineRule="exact"/>
        <w:rPr>
          <w:sz w:val="20"/>
          <w:szCs w:val="20"/>
          <w:color w:val="auto"/>
        </w:rPr>
      </w:pPr>
    </w:p>
    <w:p>
      <w:pPr>
        <w:jc w:val="both"/>
        <w:ind w:right="20" w:firstLine="400"/>
        <w:spacing w:after="0" w:line="276" w:lineRule="auto"/>
        <w:rPr>
          <w:sz w:val="20"/>
          <w:szCs w:val="20"/>
          <w:color w:val="auto"/>
        </w:rPr>
      </w:pPr>
      <w:r>
        <w:rPr>
          <w:rFonts w:ascii="Times New Roman" w:cs="Times New Roman" w:eastAsia="Times New Roman" w:hAnsi="Times New Roman"/>
          <w:sz w:val="18"/>
          <w:szCs w:val="18"/>
          <w:color w:val="auto"/>
        </w:rPr>
        <w:t>In addition to fluctuations related to our business model, our hotels are, and will continue to be, subject to various long-term operating risks common to the hotel industry, many of which are beyond our control, including:</w:t>
      </w:r>
    </w:p>
    <w:p>
      <w:pPr>
        <w:spacing w:after="0" w:line="190" w:lineRule="exact"/>
        <w:rPr>
          <w:sz w:val="20"/>
          <w:szCs w:val="20"/>
          <w:color w:val="auto"/>
        </w:rPr>
      </w:pPr>
    </w:p>
    <w:p>
      <w:pPr>
        <w:ind w:left="720" w:hanging="234"/>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business travelers and tourism, both of which vary with consumer and business confidence in the strength of the economy;</w:t>
      </w:r>
    </w:p>
    <w:p>
      <w:pPr>
        <w:spacing w:after="0" w:line="246" w:lineRule="exact"/>
        <w:rPr>
          <w:rFonts w:ascii="Times New Roman" w:cs="Times New Roman" w:eastAsia="Times New Roman" w:hAnsi="Times New Roman"/>
          <w:sz w:val="18"/>
          <w:szCs w:val="18"/>
          <w:color w:val="auto"/>
        </w:rPr>
      </w:pPr>
    </w:p>
    <w:p>
      <w:pPr>
        <w:ind w:left="720" w:hanging="234"/>
        <w:spacing w:after="0" w:line="276" w:lineRule="auto"/>
        <w:tabs>
          <w:tab w:leader="none" w:pos="7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frequency of business travel that may result from alternatives to in-person meetings and a sustained increase in hybrid or remote work arrangements;</w:t>
      </w:r>
    </w:p>
    <w:p>
      <w:pPr>
        <w:spacing w:after="0" w:line="190"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tourism due to geopolitical pressures;</w:t>
      </w:r>
    </w:p>
    <w:p>
      <w:pPr>
        <w:spacing w:after="0" w:line="246"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hotels and alternative lodging channels located in the markets in which we own properties;</w:t>
      </w:r>
    </w:p>
    <w:p>
      <w:pPr>
        <w:spacing w:after="0" w:line="246"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third-party internet travel intermediaries;</w:t>
      </w:r>
    </w:p>
    <w:p>
      <w:pPr>
        <w:spacing w:after="0" w:line="246" w:lineRule="exact"/>
        <w:rPr>
          <w:rFonts w:ascii="Times New Roman" w:cs="Times New Roman" w:eastAsia="Times New Roman" w:hAnsi="Times New Roman"/>
          <w:sz w:val="18"/>
          <w:szCs w:val="18"/>
          <w:color w:val="auto"/>
        </w:rPr>
      </w:pPr>
    </w:p>
    <w:p>
      <w:pPr>
        <w:ind w:left="720" w:hanging="234"/>
        <w:spacing w:after="0" w:line="276" w:lineRule="auto"/>
        <w:tabs>
          <w:tab w:leader="none" w:pos="7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over-supply or over-building of hotels in the markets in which we own properties, which could adversely affect occupancy rates, revenues and profits at our hotels;</w:t>
      </w:r>
    </w:p>
    <w:p>
      <w:pPr>
        <w:spacing w:after="0" w:line="190" w:lineRule="exact"/>
        <w:rPr>
          <w:rFonts w:ascii="Times New Roman" w:cs="Times New Roman" w:eastAsia="Times New Roman" w:hAnsi="Times New Roman"/>
          <w:sz w:val="18"/>
          <w:szCs w:val="18"/>
          <w:color w:val="auto"/>
        </w:rPr>
      </w:pPr>
    </w:p>
    <w:p>
      <w:pPr>
        <w:ind w:left="720" w:hanging="234"/>
        <w:spacing w:after="0" w:line="276" w:lineRule="auto"/>
        <w:tabs>
          <w:tab w:leader="none" w:pos="7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energy and transportation costs and other expenses affecting travel, which may affect travel patterns and reduce the number of business travelers and tourists;</w:t>
      </w:r>
    </w:p>
    <w:p>
      <w:pPr>
        <w:spacing w:after="0" w:line="190"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due to inflation and other factors that may not be offset by increased room rates; and</w:t>
      </w:r>
    </w:p>
    <w:p>
      <w:pPr>
        <w:spacing w:after="0" w:line="246"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fiscal policies and zoning ordinances and the related costs of compliance.</w:t>
      </w:r>
    </w:p>
    <w:p>
      <w:pPr>
        <w:spacing w:after="0" w:line="246"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In addition, our hotels are mostly in the premium full-service segment of the hotel business, which, historically, tends to have the strongest operating results in a growing economy and the weakest results in a contracting or slow growth economy when many travelers might curtail travel or choose lower cost hotels. In periods of weak demand, profitability is negatively affected by the relatively high fixed costs of operating premium full-service hotels as compared to other classes of hotels.</w:t>
      </w:r>
    </w:p>
    <w:p>
      <w:pPr>
        <w:spacing w:after="0" w:line="206" w:lineRule="exact"/>
        <w:rPr>
          <w:sz w:val="20"/>
          <w:szCs w:val="20"/>
          <w:color w:val="auto"/>
        </w:rPr>
      </w:pPr>
    </w:p>
    <w:p>
      <w:pPr>
        <w:jc w:val="both"/>
        <w:ind w:right="20" w:firstLine="400"/>
        <w:spacing w:after="0" w:line="276" w:lineRule="auto"/>
        <w:rPr>
          <w:sz w:val="20"/>
          <w:szCs w:val="20"/>
          <w:color w:val="auto"/>
        </w:rPr>
      </w:pPr>
      <w:r>
        <w:rPr>
          <w:rFonts w:ascii="Times New Roman" w:cs="Times New Roman" w:eastAsia="Times New Roman" w:hAnsi="Times New Roman"/>
          <w:sz w:val="18"/>
          <w:szCs w:val="18"/>
          <w:color w:val="auto"/>
        </w:rPr>
        <w:t>The occurrence of any of the foregoing factors could have a material adverse effect on our business, financial condition, results of operations and our ability to make distributions to our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 and other factors beyond our control may adversely affect the lodging industry.</w:t>
      </w:r>
    </w:p>
    <w:p>
      <w:pPr>
        <w:spacing w:after="0" w:line="250"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Our entire business is related to the lodging industry. The performance of the lodging industry is highly cyclical and has historically been linked to key macroeconomic indicators, such as U.S. GDP growth, employment, personal discretionary spending levels, corporate earnings and investment, foreign exchange rates and travel demand. Given that our hotels are concentrated in major urban markets and destination resort locations in the U.S., our business may be particularly sensitive to changes in foreign exchange rates, elevated interest rates or a negative international perception of the U.S. arising from its political or other positions. Other macroeconomic factors, such as consumer confidence and conditions which negatively shape public perception of travel, including travel-related disruptions or incidents and their impact on travel, may have a negative effect on the lodging industry and may adversely impact our revenues and profitability.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hotels are subject to significant competition.</w:t>
      </w:r>
    </w:p>
    <w:p>
      <w:pPr>
        <w:sectPr>
          <w:pgSz w:w="11900" w:h="16838" w:orient="portrait"/>
          <w:cols w:equalWidth="0" w:num="1">
            <w:col w:w="11240"/>
          </w:cols>
          <w:pgMar w:left="320" w:top="3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The lodging industry is highly competitive. Our principal competitors are other owners and investors in upper upscale, full-service hotels, including other lodging REITs, as well as major hospitality chains with well-established and recognized brands. Our hotels face competition for individual guests, group reservations and conference business. We also compete against smaller hotel chains and independent and local hotel owners and operators. Additionally, we face competition from peer-to-peer inventory sources that allow travelers to stay at homes and apartments booked directly from owners. New hotels may be constructed, and these additions create new competitors, in some cases without corresponding increases in demand for hotel rooms. A material increase in the supply of new hotel rooms to a market can quickly destabilize that market and existing hotels can experience rapidly decreasing RevPAR and profitability. If such over-building occurs in one or more of the markets where our hotels are located, our business, financial condition, results of operations and our ability to make distributions to our stockholders may be materially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hotels are subject to seasonal volatility, which is expected to contribute to fluctuations in our financial condition and results of operations.</w:t>
      </w:r>
    </w:p>
    <w:p>
      <w:pPr>
        <w:spacing w:after="0" w:line="223"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The periods during which our hotels experience higher revenues vary from property to property, depending principally upon location and the customer base served. This seasonality can be expected to cause periodic fluctuations in a hotel’s room revenues, occupancy levels, room rates and operating expenses. We can provide no assurances that our cash flows will be sufficient to offset any shortfalls that occur as a result of these fluctuations. Volatility in our financial performance resulting from the seasonality of our hotels could have a material adverse effect on our business, financial condition, results of operations and our ability to make distributions to our stockholders.</w:t>
      </w:r>
    </w:p>
    <w:p>
      <w:pPr>
        <w:spacing w:after="0" w:line="2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increase in the use of third-party internet travel intermediaries and the increase in alternative lodging channels, such as Airbnb, could adversely affect our profitability.</w:t>
      </w:r>
    </w:p>
    <w:p>
      <w:pPr>
        <w:spacing w:after="0" w:line="186"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Many of our managers and franchisors contract with third-party internet travel intermediaries, including, but not limited to, Expedia.com and Priceline.com, to sell rooms to leisure travelers, as well as for corporate and group travel. These internet intermediaries are generally paid commissions and transaction fees before such sales. If bookings through these intermediaries increase, these internet intermediaries may be able to negotiate higher commissions, reduced room rates or other contract concessions. Further, internet intermediaries emphasize pricing and quality indicators, such as a star rating system, at the expense of brand identification. In response to these intermediaries, the brand operators and franchisors have launched initiatives to offer discounted rates for booking on their sites, which could put downward pressure on rates and revenue. In addition, an increasing number of companies have entered various aspects of the online travel market. An increase in hotel reservations made through these companies, including those that deploy artificial intelligence or automated recommendation tools, such as Google, Apple, Amazon or Meta, may reduce the value of our franchise brands, which may negatively affect our average rates and revenues. Search engines (including generative AI search) and peer-to-peer inventory sources also provide online travel services that compete with our hotels. If bookings shift to higher cost distribution channels, including these internet travel intermediaries, it could materially impact our profitability.</w:t>
      </w:r>
    </w:p>
    <w:p>
      <w:pPr>
        <w:spacing w:after="0" w:line="214"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In addition to competing with traditional hotels and lodging facilities, we compete with alternative lodging, including third-party providers of short-term rental properties and serviced apartments, such as Airbnb, as well as alternative meeting and event space platforms, such as Convene. We compete based on a number of factors, including room rates, quality of accommodations, service levels, convenience of location, reputation, reservation systems, brand recognition and supply and availability of alternative lodging and event space. Increasing use of these alternative facilities and Internet travel intermediaries could materially and adversely affect the occupancy at our hotels and could put downward pressure on average rates and revenues.</w:t>
      </w:r>
    </w:p>
    <w:p>
      <w:pPr>
        <w:spacing w:after="0" w:line="207"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increased use of business-related technology may materially and adversely affect the need for business-related travel, and, therefore, demand for rooms in some of our hotels.</w:t>
      </w:r>
    </w:p>
    <w:p>
      <w:pPr>
        <w:spacing w:after="0" w:line="186"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The increased use of video conferencing technology by businesses has resulted in decreased business travel as companies have leveraged the use of technologies that allow multiple parties from different locations to participate in virtual meetings without traveling to a centralized meeting location, such as our hotels. To the extent that such technologies, or new technologies, continue to play a role in day-to-day business interactions and the necessity for business-related travel decreases, demand for hotel rooms may decrease, which may have a material adverse effect on our hotels, our results of operations and our financial condition.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hotels are illiquid and we may not be able to respond in a timely fashion to adverse changes in the performance of our properties.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Because real estate investments are relatively illiquid, our ability to promptly sell one or more hotel properties or investments in our portfolio in response to changing economic, financial and investment conditions may be limited. Moreover, the Code imposes restrictions on a REIT’s ability to dispose of properties that are not applicable to other types of real estate companies. In particular, the tax laws applicable to REITs require that we hold our hotels for investment, rather than primarily for sale in the ordinary course of business, which may cause us to forego or defer sales of hotels that would otherwise be in our best interests.</w:t>
      </w:r>
    </w:p>
    <w:p>
      <w:pPr>
        <w:spacing w:after="0" w:line="211"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It may be in the best interest of our stockholders to sell one or more of our hotels in the future. We cannot predict whether we will be able to sell any hotel property or investment at an acceptable price or otherwise on reasonable terms and conditions. We also cannot predict the length of time that will be necessary to find a willing purchaser and to close the sale of a hotel property or loan.</w:t>
      </w:r>
    </w:p>
    <w:p>
      <w:pPr>
        <w:spacing w:after="0" w:line="204"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These factors and any others that would impede our ability to respond to adverse changes in the performance of our hotel properties could have a material adverse effect on our operating results and financial condition, as well as our ability to make distributions to our stockholders.</w:t>
      </w:r>
    </w:p>
    <w:p>
      <w:pPr>
        <w:spacing w:after="0" w:line="18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Due to restrictions in our hotel management agreements, franchise agreements, mortgage agreements, if any, and ground leases, we may not be able to sell our hotels at the highest possible price, or at all.</w:t>
      </w:r>
    </w:p>
    <w:p>
      <w:pPr>
        <w:spacing w:after="0" w:line="1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Certain of our current hotel management and franchise agreements are long-term.</w:t>
      </w:r>
    </w:p>
    <w:p>
      <w:pPr>
        <w:spacing w:after="0" w:line="248"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The majority of our hotel management agreements are terminable at our option. Only two of our hotels have long-term management agreements with remaining terms in excess of five years, with the longest remaining term of 33 years, and certain of our properties have franchise agreements with terms up to 25 years, and these term lengths may deter some potential purchasers and could adversely impact the price realized from any such sale, or our ability to sell such hotels at all. To the extent that we receive lower sale proceeds, or are unable to sell the hotels, our business, financial condition, results of operations and our ability to make distributions to stockholders could be materially adversely affected.</w:t>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Our ground leases contain certain provisions that may limit our ability to sell our hotels.</w:t>
      </w:r>
    </w:p>
    <w:p>
      <w:pPr>
        <w:spacing w:after="0" w:line="248" w:lineRule="exact"/>
        <w:rPr>
          <w:sz w:val="20"/>
          <w:szCs w:val="20"/>
          <w:color w:val="auto"/>
        </w:rPr>
      </w:pPr>
    </w:p>
    <w:p>
      <w:pPr>
        <w:jc w:val="both"/>
        <w:ind w:firstLine="400"/>
        <w:spacing w:after="0" w:line="268" w:lineRule="auto"/>
        <w:rPr>
          <w:sz w:val="20"/>
          <w:szCs w:val="20"/>
          <w:color w:val="auto"/>
        </w:rPr>
      </w:pPr>
      <w:r>
        <w:rPr>
          <w:rFonts w:ascii="Times New Roman" w:cs="Times New Roman" w:eastAsia="Times New Roman" w:hAnsi="Times New Roman"/>
          <w:sz w:val="17"/>
          <w:szCs w:val="17"/>
          <w:color w:val="auto"/>
        </w:rPr>
        <w:t>Our ground lease agreements with respect to the Embassy Suites by Hilton Bethesda, the Salt Lake City Marriott Downtown at City Creek, the Westin Boston Seaport District, the Hotel Palomar Phoenix, the Courtyard New York Manhattan/Fifth Avenue and Cavallo Point, as well as the ground lease underlying our annex sublease at the L'Auberge de Sedona, require the consent of the lessor for assignment or transfer. These provisions of our ground leases may limit our ability to sell our hotels which, in turn, could adversely impact the price realized from any such sale. In addition, at any given time, investors may be disinterested in buying properties subject to a ground lease and may pay a lower price for such properties than for a comparable property owned in fee simple or they may not purchase such properties at any price. Accordingly, we may find it difficult to sell a property subject to a ground lease or may receive lower proceeds from any such sale. To the extent that we receive lower sale proceeds or are unable to sell the hotel at an opportune time or at all, our business, financial condition, results of operations and our ability to make distributions to stockholders could be materially adversely affected.</w:t>
      </w:r>
    </w:p>
    <w:p>
      <w:pPr>
        <w:spacing w:after="0" w:line="195"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unknown or contingent liabilities related to recently sold or acquired hotels, as well as hotels that we may sell or acquire in the future.</w:t>
      </w:r>
    </w:p>
    <w:p>
      <w:pPr>
        <w:spacing w:after="0" w:line="186"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Our recently sold or acquired hotels, as well as hotels we may sell or acquire in the future, may be subject to unknown or contingent liabilities for which we may be liable to the buyers or for which we may have no recourse, or only limited recourse, against the sellers. In general, the representations and warranties provided under our transaction agreements related to the sale or purchase of a hotel may survive for a defined period of time after the completion of the transaction.</w:t>
      </w:r>
    </w:p>
    <w:p>
      <w:pPr>
        <w:spacing w:after="0" w:line="206"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Furthermore, indemnification under such agreements may be limited and subject to various materiality thresholds, a significant deductible, or an aggregate cap on losses. As a result, there is no guaranty that we will not be obligated to reimburse buyers for their losses or that we will be able to recover any amounts with respect to losses due to breaches by sellers of their representations and warranties.</w:t>
      </w:r>
    </w:p>
    <w:p>
      <w:pPr>
        <w:spacing w:after="0" w:line="204"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In addition, the total amount of costs and expenses that may be incurred with respect to the unknown or contingent liabilities may exceed our expectations, and we may experience other unanticipated adverse effects, all of which could materially and adversely affect our operating results and cash flows.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ongoing need for renovations and capital improvements as well as financing for such expenditures.</w:t>
      </w:r>
    </w:p>
    <w:p>
      <w:pPr>
        <w:spacing w:after="0" w:line="250" w:lineRule="exact"/>
        <w:rPr>
          <w:sz w:val="20"/>
          <w:szCs w:val="20"/>
          <w:color w:val="auto"/>
        </w:rPr>
      </w:pPr>
    </w:p>
    <w:p>
      <w:pPr>
        <w:ind w:firstLine="400"/>
        <w:spacing w:after="0" w:line="276" w:lineRule="auto"/>
        <w:rPr>
          <w:sz w:val="20"/>
          <w:szCs w:val="20"/>
          <w:color w:val="auto"/>
        </w:rPr>
      </w:pPr>
      <w:r>
        <w:rPr>
          <w:rFonts w:ascii="Times New Roman" w:cs="Times New Roman" w:eastAsia="Times New Roman" w:hAnsi="Times New Roman"/>
          <w:sz w:val="18"/>
          <w:szCs w:val="18"/>
          <w:color w:val="auto"/>
        </w:rPr>
        <w:t>In order to remain competitive, our hotels have an ongoing need for renovations and other capital improvements, including replacements of furniture, fixtures and equipment. These capital improvements may give rise to the following risks:</w:t>
      </w:r>
    </w:p>
    <w:p>
      <w:pPr>
        <w:spacing w:after="0" w:line="190" w:lineRule="exact"/>
        <w:rPr>
          <w:sz w:val="20"/>
          <w:szCs w:val="20"/>
          <w:color w:val="auto"/>
        </w:rPr>
      </w:pPr>
    </w:p>
    <w:p>
      <w:pPr>
        <w:ind w:left="640" w:hanging="23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cost overruns and delays, including those caused by supply chain disruptions or inflationary price increases;</w:t>
      </w:r>
    </w:p>
    <w:p>
      <w:pPr>
        <w:spacing w:after="0" w:line="246" w:lineRule="exact"/>
        <w:rPr>
          <w:rFonts w:ascii="Times New Roman" w:cs="Times New Roman" w:eastAsia="Times New Roman" w:hAnsi="Times New Roman"/>
          <w:sz w:val="18"/>
          <w:szCs w:val="18"/>
          <w:color w:val="auto"/>
        </w:rPr>
      </w:pPr>
    </w:p>
    <w:p>
      <w:pPr>
        <w:ind w:left="640" w:hanging="234"/>
        <w:spacing w:after="0" w:line="27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possible shortage of available cash to fund capital improvements and the related possibility that financing for these capital improvements may not be available to us on affordable terms;</w:t>
      </w:r>
    </w:p>
    <w:p>
      <w:pPr>
        <w:spacing w:after="0" w:line="190" w:lineRule="exact"/>
        <w:rPr>
          <w:rFonts w:ascii="Times New Roman" w:cs="Times New Roman" w:eastAsia="Times New Roman" w:hAnsi="Times New Roman"/>
          <w:sz w:val="18"/>
          <w:szCs w:val="18"/>
          <w:color w:val="auto"/>
        </w:rPr>
      </w:pPr>
    </w:p>
    <w:p>
      <w:pPr>
        <w:ind w:left="640" w:hanging="23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renovation investment failing to produce the returns on investment that we expect;</w:t>
      </w:r>
    </w:p>
    <w:p>
      <w:pPr>
        <w:spacing w:after="0" w:line="246" w:lineRule="exact"/>
        <w:rPr>
          <w:rFonts w:ascii="Times New Roman" w:cs="Times New Roman" w:eastAsia="Times New Roman" w:hAnsi="Times New Roman"/>
          <w:sz w:val="18"/>
          <w:szCs w:val="18"/>
          <w:color w:val="auto"/>
        </w:rPr>
      </w:pPr>
    </w:p>
    <w:p>
      <w:pPr>
        <w:ind w:left="640" w:hanging="23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operations or in demand for the hotel while capital improvements are underway; and</w:t>
      </w:r>
    </w:p>
    <w:p>
      <w:pPr>
        <w:spacing w:after="0" w:line="246" w:lineRule="exact"/>
        <w:rPr>
          <w:rFonts w:ascii="Times New Roman" w:cs="Times New Roman" w:eastAsia="Times New Roman" w:hAnsi="Times New Roman"/>
          <w:sz w:val="18"/>
          <w:szCs w:val="18"/>
          <w:color w:val="auto"/>
        </w:rPr>
      </w:pPr>
    </w:p>
    <w:p>
      <w:pPr>
        <w:ind w:left="640" w:hanging="23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franchisors/hotel managers regarding compliance with relevant franchise/management agreements.</w:t>
      </w:r>
    </w:p>
    <w:p>
      <w:pPr>
        <w:spacing w:after="0" w:line="246"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costs of these capital improvements or profit displacements during the completion of these capital improvements could have a material adverse effect on our business, financial condition, results of operations and our ability to make distributions to our stockholders.</w:t>
      </w:r>
    </w:p>
    <w:p>
      <w:pPr>
        <w:spacing w:after="0" w:line="190"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In addition, we may not be able to fund capital improvements or acquisitions solely from cash provided from our operating activities because we generally must distribute at least 90% of our REIT taxable income each year to maintain our REIT tax status. As a result, our ability to fund capital expenditures or investments through retained earnings is very limited and we rely upon the availability of debt or equity capital to fund our investments and capital improvements, which may not be available on reasonable terms or conditions.</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Any future pandemic, epidemic or outbreak of any highly infectious disease could cause widespread disruptions in the U.S., regional and global economies, travel and the hospitality industry and could materially and adversely impact our business, financial condition and results of operations.</w:t>
      </w:r>
    </w:p>
    <w:p>
      <w:pPr>
        <w:spacing w:after="0" w:line="186"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7"/>
          <w:szCs w:val="17"/>
          <w:color w:val="auto"/>
        </w:rPr>
        <w:t>The COVID-19 pandemic had a material adverse effect on our hotels and our business, including our results of operations and financial condition. Any future pandemic, epidemic or outbreak of any highly infectious disease, could cause widespread disruptions to the U.S. and global economy and volatility and negative pressure in financial markets and may materially and adversely affect, our business, financial condition and results of operations, and our ability to pay dividends, and may also have the effect of heightening many of the risks described below and within this “Risk Factors” section, including:</w:t>
      </w:r>
    </w:p>
    <w:p>
      <w:pPr>
        <w:spacing w:after="0" w:line="194" w:lineRule="exact"/>
        <w:rPr>
          <w:sz w:val="20"/>
          <w:szCs w:val="20"/>
          <w:color w:val="auto"/>
        </w:rPr>
      </w:pPr>
    </w:p>
    <w:p>
      <w:pPr>
        <w:ind w:left="640" w:right="220" w:hanging="314"/>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or partial closure or re-closure of, or other operational issues at, one or more of our hotels resulting from government, third-party hotel manager or franchisor action, which could materially adversely affect our operations;</w:t>
      </w:r>
    </w:p>
    <w:p>
      <w:pPr>
        <w:spacing w:after="0" w:line="202"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postponement or cancellation of conferences, conventions, festivals, sporting events, public events and other group business that would have otherwise brought individuals to the cities in which our hotels are located, which could cause a decrease in occupancy rates;</w:t>
      </w:r>
    </w:p>
    <w:p>
      <w:pPr>
        <w:spacing w:after="0" w:line="190"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decline in in-person business meetings and an increase in the use of teleconferencing and video-conference technology, which could cause a sustained shift away from business-related travel and have a material adverse effect on the overall demand for hotel rooms; and</w:t>
      </w:r>
    </w:p>
    <w:p>
      <w:pPr>
        <w:spacing w:after="0" w:line="190"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individuals’ willingness to travel as a result of the public health risks and social impacts of such outbreak or a decrease in consumer spending, which could affect the ability of our hotels to generate sufficient revenues.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hotels are subject to risks from natural disasters, climate change, terrorism, pandemics, and other catastrophic events, which may not be fully covered by insurance and could materially adversely affect our business.</w:t>
      </w:r>
    </w:p>
    <w:p>
      <w:pPr>
        <w:spacing w:after="0" w:line="186"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Our hotels are exposed to risks from natural disasters, including earthquakes, storms, hurricanes, floods, wildfires, and rising sea levels particularly as a result of climate change. Some properties are located in areas prone to such events, including seismically active and coastal regions. In addition, several of our hotels are in major metropolitan markets that have been, or may be, targets of terrorist attacks or active shooter incidents. These hotels constitute 71% of our total revenues in 2025.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Outbreaks of contagious diseases, significant military actions, or other catastrophic events could also disrupt operations and reduce travel demand, negatively impacting our financial results.</w:t>
      </w:r>
    </w:p>
    <w:p>
      <w:pPr>
        <w:spacing w:after="0" w:line="190" w:lineRule="exact"/>
        <w:rPr>
          <w:sz w:val="20"/>
          <w:szCs w:val="20"/>
          <w:color w:val="auto"/>
        </w:rPr>
      </w:pPr>
    </w:p>
    <w:p>
      <w:pPr>
        <w:jc w:val="both"/>
        <w:ind w:firstLine="400"/>
        <w:spacing w:after="0" w:line="266" w:lineRule="auto"/>
        <w:rPr>
          <w:sz w:val="20"/>
          <w:szCs w:val="20"/>
          <w:color w:val="auto"/>
        </w:rPr>
      </w:pPr>
      <w:r>
        <w:rPr>
          <w:rFonts w:ascii="Times New Roman" w:cs="Times New Roman" w:eastAsia="Times New Roman" w:hAnsi="Times New Roman"/>
          <w:sz w:val="17"/>
          <w:szCs w:val="17"/>
          <w:color w:val="auto"/>
        </w:rPr>
        <w:t>Coverage under our comprehensive insurance policies may not always be available on reasonable terms or may include significant deductibles. Certain catastrophic losses, such as from terrorism or extreme weather, may not be insurable or may exceed policy limits. Various types of catastrophic losses, like earthquakes, floods, wildfires, losses from foreign terrorist activities, or losses from domestic terrorist activities may not be insurable or are generally not insured because of economic infeasibility, legal restrictions or the policies of insurers, which may also affect our ability to obtain financing if a lender requires such insurance. Future lenders may require such insurance, and our failure to obtain such insurance could constitute a default under the loan agreements. Depending on our access to capital, liquidity and the value of the properties securing the affected loan in relation to the balance of the loan, a default could have a material adverse effect on our results of operations and ability to obtain future financing. Past and future claims could also impact the availability and cost of insurance, which may adversely impact the availability or pricing of insurance available to us. In the event of an uninsured or underinsured loss, we could lose invested capital and future revenue from affected properties, and may remain liable for any related debt. Any of these events could have a material adverse effect on our business, financial condition, results of operations, and our ability to make distributions to stockholders.</w:t>
      </w:r>
    </w:p>
    <w:p>
      <w:pPr>
        <w:spacing w:after="0" w:line="20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and our hotel managers rely on information technology in our operations and any material failures, inadequacies, interruptions, security failures, or cybersecurity incidents could harm our business.</w:t>
      </w:r>
    </w:p>
    <w:p>
      <w:pPr>
        <w:spacing w:after="0" w:line="186"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We and our hotel managers rely on information technologies and systems, including the Internet, to access, store, transmit, deliver and manage information and processes. Some of these information technologies and systems are provided by third-party vendors. We rely on commercially available systems, software, tools and monitoring to provide security for processing, transmission and storage of certain confidential customer information, such as individually identifiable information, including information relating to financial accounts and guest credit card information. The risk of a cybersecurity incident continues to increase as the number, intensity and sophistication of attempted attacks and intrusions from around the world has increased.</w:t>
      </w:r>
    </w:p>
    <w:p>
      <w:pPr>
        <w:spacing w:after="0" w:line="211" w:lineRule="exact"/>
        <w:rPr>
          <w:sz w:val="20"/>
          <w:szCs w:val="20"/>
          <w:color w:val="auto"/>
        </w:rPr>
      </w:pPr>
    </w:p>
    <w:p>
      <w:pPr>
        <w:jc w:val="both"/>
        <w:ind w:firstLine="400"/>
        <w:spacing w:after="0" w:line="265" w:lineRule="auto"/>
        <w:rPr>
          <w:sz w:val="20"/>
          <w:szCs w:val="20"/>
          <w:color w:val="auto"/>
        </w:rPr>
      </w:pPr>
      <w:r>
        <w:rPr>
          <w:rFonts w:ascii="Times New Roman" w:cs="Times New Roman" w:eastAsia="Times New Roman" w:hAnsi="Times New Roman"/>
          <w:sz w:val="17"/>
          <w:szCs w:val="17"/>
          <w:color w:val="auto"/>
        </w:rPr>
        <w:t>For these reasons, we and our hotel managers are subject to risks associated with cybersecurity incidents, whether through cyber-attacks such as ransomware or online fraud schemes, spoofed e-mails and social engineering efforts by bad actors aimed at obtaining confidential information. Any compromise of the function, security and availability of our network and systems or the network and systems of our hotel managers or our third-party vendors could result in disruptions to operations, misappropriated or compromised confidential hotel or guest information, systems disruptions, the shutdown of our hotels, exploited security vulnerability of our respective networks, delayed sales or bookings, lost guest reservations and damage to our reputation or the reputations of our hotel managers and third-party vendors, or significant litigation or other legal expense. Although we and our hotel managers have taken steps to protect the security of these systems, there can be no assurance that such security measures will prevent failures, inadequacies or interruptions in system services, or that system security will not be breached through physical or electronic break-ins, computer viruses, or other cybersecurity incidents. The costs to us to eliminate or alleviate cybersecurity incidents could be significant and may increase as the number, intensity and sophistication of such incidents increases. Disruptions in service, system shutdowns and cybersecurity incidents affecting either the information technologies and systems of our hotel managers, our third-party vendors or our own information technologies and systems, including unauthorized disclosure of confidential information, could have a material adverse effect on our business operations and results, our financial and compliance reporting and our reputation.</w:t>
      </w:r>
    </w:p>
    <w:p>
      <w:pPr>
        <w:spacing w:after="0" w:line="209"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Many of our hotel managers maintain cyber insurance policies to mitigate a portion of the potential costs associated with cybersecurity incidents, and we maintain separate cyber insurance policies to provide supplemental coverage above the coverage carried by our third-party managers. However, these insurance policies may not be adequate to cover all losses relating to cybersecurity incidents. Despite various precautionary steps to protect our hotels from losses resulting from cybersecurity incidents, any occurrence of a cybersecurity incident could still result in losses at our properties, which could affect our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highly dependent on the management of our hotel properties by third-party hotel management companies.</w:t>
      </w:r>
    </w:p>
    <w:p>
      <w:pPr>
        <w:spacing w:after="0" w:line="250"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In order to qualify as a REIT, we cannot operate our hotel properties or control the daily operations of our hotel properties and therefore our TRS lessees must enter into third-party hotel management agreements with one or more eligible independent contractors. Thus, third-party hotel management companies that enter into management contracts with our TRS lessees control the daily operations of our hotel properties.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18"/>
          <w:szCs w:val="18"/>
          <w:color w:val="auto"/>
        </w:rPr>
        <w:t>Under the terms of the hotel management agreements that we have entered into, or that we will enter into in the future, our ability to participate in operating decisions regarding our hotel properties is limited to certain matters, including approval of the annual operating budget. We currently rely, and will continue to rely, on these hotel management companies to adequately operate our hotel properties under the terms of the hotel management agreements. While we and our TRS lessees closely monitor the performance of our hotel managers, we do not have the authority to require any hotel property to be operated in a particular manner or to govern any particular aspect of its operations (for instance, setting room rates and cost structures). Thus, even if we believe that our hotel properties are being operated inefficiently or in a manner that does not result in satisfactory occupancy rates, ADRs and operating profits, we may not have sufficient rights under our hotel management agreements to enable us to force the hotel management company to change its method of operation. We can only seek remedies available under the applicable hotel management agreement if a hotel management company violates the terms of such hotel management agreement with the TRS lessee. Four of our current management agreements are non-terminable, subject to certain exceptions for cause or failure to achieve certain performance targets. In the event that we need to replace any of our hotel management companies pursuant to termination for cause or performance, we may experience significant disruptions at the affected properties and the new management companies may not meet our performance expectations, which may have a material adverse effect on our business, financial condition, results of operations and our ability to make distributions to our stockholders.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good relationships with third-party hotel managers and franchisors.</w:t>
      </w:r>
    </w:p>
    <w:p>
      <w:pPr>
        <w:spacing w:after="0" w:line="94"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The success of our respective hotel investments and the value of our franchised properties largely depend on our ability to establish and maintain good relationships with the third-party hotel managers and franchisors of our respective hotel management and franchise agreements. If we are unable to maintain good relationships with third-party hotel managers or franchisors, we may be unable to renew existing management or franchise agreements or expand relationships with them. Additionally, opportunities for developing new relationships with additional third-party hotel managers or franchisors may be adversely affected. This, in turn, could have an adverse effect on our results of operations and our ability to execute our repositioning strategy through a change in brand or change in third-party hotel manager.</w:t>
      </w:r>
    </w:p>
    <w:p>
      <w:pPr>
        <w:spacing w:after="0" w:line="2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Several of our hotels are operated under franchise agreements and we are subject to the risks associated with the franchise brand and the costs associated with maintaining the franchise license.</w:t>
      </w:r>
    </w:p>
    <w:p>
      <w:pPr>
        <w:spacing w:after="0" w:line="186"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As of the date of this report, 18 of our 35 hotels operate under Marriott, Hilton, or IHG franchise agreements. The maintenance of the franchise licenses for branded hotel properties is subject to the franchisors’ operating standards and other terms and conditions set forth in the applicable franchise agreement. Franchisors periodically inspect hotel properties to ensure that companies follow their brand standards.</w:t>
      </w:r>
    </w:p>
    <w:p>
      <w:pPr>
        <w:spacing w:after="0" w:line="204"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If we fail to maintain these required standards, then the brand may terminate its agreement with us and assert a claim for damages for any liability we may have caused, which could include liquidated damages. Moreover, from time to time, we may receive notices from franchisors or the hotel brands regarding alleged non-compliance with the franchise agreements or brand standards, and we may disagree with these claims that we are not in compliance. Any disputes arising under these agreements could also lead to a termination of a franchise or management agreement and a payment of liquidated damages. If we were to lose a franchise or hotel brand for a particular hotel, it could harm the operation, financing, or value of that hotel due to the loss of the franchise or hotel brand name, marketing support and centralized reservation system, all or any of which could have a material adverse effect on our business, financial condition, results of operations and our ability to make distributions to stockholders.</w:t>
      </w:r>
    </w:p>
    <w:p>
      <w:pPr>
        <w:spacing w:after="0" w:line="20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Contractual and other disagreements with third-party hotel managers and franchisors could make us liable to them or result in litigation costs or other expenses.</w:t>
      </w:r>
    </w:p>
    <w:p>
      <w:pPr>
        <w:spacing w:after="0" w:line="159"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At any given time, we may be in disputes with one or more third-party hotel managers or franchisors with respect to the parties’ compliance with operational and performance conditions.</w:t>
      </w:r>
    </w:p>
    <w:p>
      <w:pPr>
        <w:spacing w:after="0" w:line="164"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Any such dispute could be very expensive for us, even if the outcome is ultimately in our favor. We cannot predict the outcome of any arbitration or litigation, the effect of any negative judgment against us or the amount of any settlement that we may enter into with any franchisor or other third-party hotel manager. In the event we terminate a management or franchise agreement early and the hotel manager or franchisor considers such termination to have been wrongful, they may seek damages. Additionally, we may be required to indemnify our third-party hotel managers and franchisors against disputes with third parties pursuant to our management and franchise agreements. An adverse result in any of these proceedings could materially and adversely affect our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consolidation in the lodging industry.</w:t>
      </w:r>
    </w:p>
    <w:p>
      <w:pPr>
        <w:spacing w:after="0" w:line="200" w:lineRule="exact"/>
        <w:rPr>
          <w:sz w:val="20"/>
          <w:szCs w:val="20"/>
          <w:color w:val="auto"/>
        </w:rPr>
      </w:pPr>
    </w:p>
    <w:p>
      <w:pPr>
        <w:spacing w:after="0" w:line="263"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Consolidation among companies in the lodging industry may reduce our bargaining power in negotiating management agreements and franchise agreements due to decreased competition among major brand companies. We believe this could provide the major brand companies with leverage when negotiating for property improvement plans where the hotel brand requires renovations to bring the physical condition of a hotel into compliance with the specifications and standards required by the brand.</w:t>
      </w:r>
    </w:p>
    <w:p>
      <w:pPr>
        <w:spacing w:after="0" w:line="206"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Industry consolidation could also result in the lack of differentiation among the brands, which could impact the ability to drive higher rates in those brands. In addition, to the extent that consolidation among hotel brand companies adversely affects the loyalty reward program offered by one or more of our hotels, customer loyalty to those hotels may suffer and demand for guestrooms may decrease. Furthermore, because each hotel brand company relies on its own network of reservation systems, hotel management systems and customer databases, the integration of two or more networks may result in a disruption to operations of these systems, which could adversely affect our financial condition and results of operations. Additionally, following the completion of a merger of companies, the costs to integrate the companies may be absorbed by our impacted hotel or hotels and adversely affect our financial condition and results of operations.</w:t>
      </w:r>
    </w:p>
    <w:p>
      <w:pPr>
        <w:spacing w:after="0" w:line="207" w:lineRule="exact"/>
        <w:rPr>
          <w:sz w:val="20"/>
          <w:szCs w:val="20"/>
          <w:color w:val="auto"/>
        </w:rPr>
      </w:pPr>
    </w:p>
    <w:p>
      <w:pPr>
        <w:ind w:right="160"/>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Our ownership of properties through ground leases exposes us to the risks that we may have difficulty financing such properties, be forced to sell such properties for a lower price, are unable to extend the ground leases at maturity or lose such properties upon breach or termination of the ground leases.</w:t>
      </w:r>
    </w:p>
    <w:p>
      <w:pPr>
        <w:spacing w:after="0" w:line="164"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We hold a leasehold or subleasehold interest in all or a portion of the land underlying eight of our hotels owned as of December 31, 2025 and we may acquire additional hotels in the future subject to ground leases. In the past, from time to time, secured lenders have been unwilling to lend, or otherwise charged higher interest rates, for loans secured by a leasehold mortgage compared to loans secured by a fee simple mortgage. For this reason, we may have a difficult time selling a property subject to a ground lease or may receive lower proceeds from a sale. Finally, as the lessee under our ground leases, we are exposed to the possibility of losing the hotel, or a portion of the hotel, upon maturity or termination, or an earlier breach by us, of the ground lease, which would mean we would no longer receive operating income from the hotel and could therefore result in a material adverse effect on our business, financial condition, results of operations and our ability to make distributions to our stockholders.</w:t>
      </w:r>
    </w:p>
    <w:p>
      <w:pPr>
        <w:spacing w:after="0" w:line="211"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Furthermore, unless we purchase a fee simple interest in the land and improvements subject to our ground leases, we will not have any economic interest in the land or improvements at the expiration of our ground leases and therefore we generally will not share in any increase in value of the land or improvements beyond the term of a ground lease, notwithstanding our capital outlay to purchase our interest in the hotel or fund improvements thereon, and will lose our right to use the hotel.</w:t>
      </w:r>
    </w:p>
    <w:p>
      <w:pPr>
        <w:spacing w:after="0" w:line="20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for hotel acquisitions and investments, and we may not be successful in identifying or completing hotel acquisitions and investments that meet our criteria, which may impede our growth.</w:t>
      </w:r>
    </w:p>
    <w:p>
      <w:pPr>
        <w:spacing w:after="0" w:line="186"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One component of our long-term business strategy is expansion through hotel acquisitions and investments. However, we may not be successful in identifying or completing acquisitions or investments that are consistent with our strategy. We compete with other investors who are engaged in hotel acquisitions and investments and this competition for hotel investments may increase the price we pay for hotels and these competitors may succeed in acquiring those hotels that we seek to purchase. In addition, the number of entities competing for suitable hotels may increase in the future, which would increase demand for these hotels and the prices we must pay to acquire them. If we pay higher prices for hotels, our returns on investment and profitability may be reduced. Also, future acquisitions of hotels, hotel companies or hotel investments may not yield the returns we expect, especially if we cannot obtain financing without paying higher borrowing costs, and may result in stockholder dilution.</w:t>
      </w:r>
    </w:p>
    <w:p>
      <w:pPr>
        <w:spacing w:after="0" w:line="2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complete hotel acquisitions, there can be no assurance that we will be able to successfully integrate the hotels we acquire into our existing operations or otherwise realize the expected benefits of these acquisitions.</w:t>
      </w:r>
    </w:p>
    <w:p>
      <w:pPr>
        <w:spacing w:after="0" w:line="186"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7"/>
          <w:szCs w:val="17"/>
          <w:color w:val="auto"/>
        </w:rPr>
        <w:t>Even if we successfully complete hotel acquisitions, there can be no assurance that we will be able to successfully integrate the hotels we acquire into our existing operations or otherwise realize the expected benefits of these acquisitions. In addition, the acquisition and subsequent integration of the additional hotels into our existing portfolio may require significant time and focus from our management team and may divert attention from the day-to-day operations of our business, which could delay the achievement of our strategic objectives. Acquired properties may be located in markets where we may face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risks associated with a lack of market knowledge or understanding of the local economy, lack of business relationships in the area and unfamiliarity with local governmental and permitting procedures. Further, the acquired properties may present other unique risks due to the nature of the assets acquired. Any delay or failure on our part to operate acquired properties to meet our financial expectations could impede our growth and have an adverse effect on us, including our financial condition, results of operations, and cash flow.</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Many of our costs, such as operating expenses, interest expense and acquisition and renovation costs, remain elevated and could be adversely impacted by periods of heightened inflation.</w:t>
      </w:r>
    </w:p>
    <w:p>
      <w:pPr>
        <w:spacing w:after="0" w:line="186"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During 2025, inflation began to moderate, but our expenses remained significantly elevated relative to the years preceding 2021. Inflationary increases in certain of our operating expenses, including, but not limited to, labor costs, employee-related benefits, food, beverage and utility costs, repairs and maintenance expenses, property taxes and insurance premiums, have and may continue to negatively impact our business and results of operations. While, in general, operators of hotels possess the ability to adjust room rates daily to reflect the effects of inflation or higher costs, competitive pressures, customer resistance to higher booking costs or other factors may limit the ability of our management companies to raise room rates. Additionally, inflation may have a negative effect on our ability to renovate or make capital improvements, including replacements, from time to time, of furniture, fixtures and equipment. See “Risk Factors—Risks Related to our Business and Operations—We are subject to risks associated with our ongoing need for renovations and capital improvements as well as financing for such expenditures.”</w:t>
      </w:r>
    </w:p>
    <w:p>
      <w:pPr>
        <w:spacing w:after="0" w:line="210"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hotel labor, including unionized labor, labor disputes, labor shortages and other labor activity, which could adversely affect our business.</w:t>
      </w:r>
    </w:p>
    <w:p>
      <w:pPr>
        <w:spacing w:after="0" w:line="200"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Our third-party managers are responsible for hiring and managing the workforce at our hotels, many of which employ unionized labor. Hotels with collective bargaining agreements are particularly susceptible to labor actions such as strikes, lockouts, and public demonstrations, which can disrupt operations, increase costs, and generate negative publicity. We remain subject to many of the costs and risks associated with the hotel labor force, including the potential for increased administrative, legal, and labor expenses, especially as labor unions have become more active in organizing hotel workers in certain regions. The resolution of labor disputes or the negotiation of new or renewed labor contracts may result in higher wages, increased benefits, or work rule changes that raise operating costs. Additionally, collective bargaining agreements may limit our hotel managers’ ability to reduce workforce size during economic downturns, and we do not control the outcome of these negotiations.</w:t>
      </w:r>
    </w:p>
    <w:p>
      <w:pPr>
        <w:spacing w:after="0" w:line="211"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also face risks related to labor shortages, as our third-party managers may have difficulty attracting and retaining qualified employees, particularly in tight labor markets. Increased competition for employees may require higher wages and benefits, and evolving workforce expectations, such as demands for flexible schedules or remote work, could further increase labor costs. Any of these factors could adversely affect our business, financial condition, results of operations, and our ability to make distributions to our stockholders.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Actions by federal, state or local jurisdictions could have a material adverse effect on our business.</w:t>
      </w:r>
    </w:p>
    <w:p>
      <w:pPr>
        <w:spacing w:after="0" w:line="250"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Several local jurisdictions in the U.S. have enacted, or considered, legislation increasing the minimum wage for workers in the jurisdiction. Some of this legislation applies to hotels only. If a jurisdiction in which the Company owns a hotel adopts such legislation, then the cost to operate the hotel may increase significantly and could have a material adverse effect on our business, financial condition, results of operations and our ability to make distributions to our stockholders.</w:t>
      </w:r>
    </w:p>
    <w:p>
      <w:pPr>
        <w:spacing w:after="0" w:line="206"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Additionally, although we do not directly employ or manage employees at our hotels, and our third-party managers are responsible for hiring, supervising and managing the labor force at our hotels, recent legislative proposals introduced in certain states and local jurisdictions have included provisions requiring that hotel owners be deemed an employer of workers at our hotels. Changes in laws or regulations relating to the employer relationship that result in a determination that we are a “joint employer” with our hotel operators could subject us to liability for employment-related and other liabilities of our hotel operators and could cause us to incur other costs that have a material adverse effect on our business (including our qualification for taxation as a REIT), financial condition and results of operations.</w:t>
      </w:r>
    </w:p>
    <w:p>
      <w:pPr>
        <w:spacing w:after="0" w:line="20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use of or failure to adopt advancements in information technology, such as artificial intelligence, may hinder or prevent us from achieving strategic objectives or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Our use of or inability to safely and effectively adopt and deliver new technological capabilities and enhancements in line with strategic objectives (or the use or failure to adopt by our hotel managers), including artificial intelligence ("AI"), may put us at a competitive disadvantage, including by failing to achieve efficiencies achieved by our competitors, or by misusing such technologies in ways that result in operational disruptions, reputation damage or legal liability exposure. Our use of AI tools will subject us to risks, including inaccurate or otherwise flawed results that are not easily detectable, misappropriation of intellectual property which may expose us to legal liability, and confidentiality, data privacy, and cybersecurity risks. Although we implement measures designed to help mitigate these risks, such measures may not always be successful.</w:t>
      </w:r>
    </w:p>
    <w:p>
      <w:pPr>
        <w:spacing w:after="0" w:line="210"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Our vendors may use AI tools in their products or services without our knowledge, and the providers of these tools may not meet the evolving regulatory or industry standards for privacy and data protection. Consequently, this may inhibit our vendors' ability to uphold an appropriate level of service, security, or data privacy. If we, our vendors, or other third parties with which we conduct business experience an actual or perceived cybersecurity incident due to the use of AI, we may be adversely impacted, lose valuable intellectual property or confidential information, and incur harm to our reputation and the public perception of the effectiveness of our cybersecurity measures.</w:t>
      </w:r>
    </w:p>
    <w:p>
      <w:pPr>
        <w:spacing w:after="0" w:line="211"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Although we have adopted policies with respect to these risks, including related to the development, deployment and monitoring of artificial intelligence tools, we cannot be certain that such policies will be effective.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Debt and Financing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facility and term loans contain financial covenants that may constrain our ability to sell assets and make distributions to our stockholders.</w:t>
      </w:r>
    </w:p>
    <w:p>
      <w:pPr>
        <w:spacing w:after="0" w:line="237"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18"/>
          <w:szCs w:val="18"/>
          <w:color w:val="auto"/>
        </w:rPr>
        <w:t>Our corporate credit facility and term loans contain several financial covenants, the most constraining of which limits the amount of debt that we may incur compared to the value of our hotels (our leverage covenant) and the amount of debt service we pay compared to our cash flow (our debt service coverage covenant). In addition, our credit facility requires that we maintain a minimum number of our hotels as unencumbered. If we were to default under either of these covenants or were unable to obtain a waiver of such default, the lenders may require us to repay all amounts then outstanding under our credit facility and term loans and may terminate our credit facility and term loans. These and our other financial covenants constrain us from incurring material amounts of additional debt or from selling properties that generate a material amount of income.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refinancing risk associated with our debt.</w:t>
      </w:r>
    </w:p>
    <w:p>
      <w:pPr>
        <w:spacing w:after="0" w:line="250"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Our typical debt contains limited principal amortization; therefore, the vast majority of the principal must be repaid at the maturity of the loan in a so-called “balloon payment.” In the event that we do not have sufficient funds to repay the debt at the maturity of these loans, we will need to refinance this debt. If the credit environment is constrained at the time of our debt maturities, we would have a very difficult time refinancing debt. When we refinance our debt, prevailing interest rates and other factors may result in paying a greater amount of debt service, which will adversely affect our cash flow, and, consequently, our cash available for distribution to our stockholders. If we are unable to refinance our debt on acceptable terms, we may be forced to choose from a number of unfavorable options. These options include agreeing to otherwise unfavorable financing terms on one or more of our unencumbered assets, selling one or more hotels on disadvantageous terms, including unattractive prices or defaulting on the mortgage and permitting the lender to foreclose. Any one of these options could have a material adverse effect on our business, financial condition, results of operations and our ability to make distributions to our stockholders.</w:t>
      </w:r>
    </w:p>
    <w:p>
      <w:pPr>
        <w:spacing w:after="0" w:line="215"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Future debt service obligations may adversely affect our operating results, require us to liquidate our properties, jeopardize our ability to make cash distributions necessary to maintain our tax status as a REIT and limit our ability to make distributions to our stockholders.</w:t>
      </w:r>
    </w:p>
    <w:p>
      <w:pPr>
        <w:spacing w:after="0" w:line="186" w:lineRule="exact"/>
        <w:rPr>
          <w:sz w:val="20"/>
          <w:szCs w:val="20"/>
          <w:color w:val="auto"/>
        </w:rPr>
      </w:pPr>
    </w:p>
    <w:p>
      <w:pPr>
        <w:jc w:val="both"/>
        <w:ind w:firstLine="400"/>
        <w:spacing w:after="0" w:line="306" w:lineRule="auto"/>
        <w:rPr>
          <w:sz w:val="20"/>
          <w:szCs w:val="20"/>
          <w:color w:val="auto"/>
        </w:rPr>
      </w:pPr>
      <w:r>
        <w:rPr>
          <w:rFonts w:ascii="Times New Roman" w:cs="Times New Roman" w:eastAsia="Times New Roman" w:hAnsi="Times New Roman"/>
          <w:sz w:val="17"/>
          <w:szCs w:val="17"/>
          <w:color w:val="auto"/>
        </w:rPr>
        <w:t>In the future, we and our subsidiaries may incur substantial additional debt, including secured debt, and borrowing costs on new and refinanced debt may continue to be more expensive. Our existing debt, and any additional debt borrowed in the future could subject us to many risks, including the risks that:</w:t>
      </w:r>
    </w:p>
    <w:p>
      <w:pPr>
        <w:spacing w:after="0" w:line="168" w:lineRule="exact"/>
        <w:rPr>
          <w:sz w:val="20"/>
          <w:szCs w:val="20"/>
          <w:color w:val="auto"/>
        </w:rPr>
      </w:pPr>
    </w:p>
    <w:p>
      <w:pPr>
        <w:ind w:left="800" w:hanging="314"/>
        <w:spacing w:after="0" w:line="276" w:lineRule="auto"/>
        <w:tabs>
          <w:tab w:leader="none" w:pos="7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from operations will be insufficient to make required payments of principal and interest or to make cash distributions necessary to maintain our tax status as a REIT;</w:t>
      </w:r>
    </w:p>
    <w:p>
      <w:pPr>
        <w:spacing w:after="0" w:line="190" w:lineRule="exact"/>
        <w:rPr>
          <w:rFonts w:ascii="Times New Roman" w:cs="Times New Roman" w:eastAsia="Times New Roman" w:hAnsi="Times New Roman"/>
          <w:sz w:val="18"/>
          <w:szCs w:val="18"/>
          <w:color w:val="auto"/>
        </w:rPr>
      </w:pPr>
    </w:p>
    <w:p>
      <w:pPr>
        <w:ind w:left="800" w:hanging="314"/>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vulnerable to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ind w:left="800" w:hanging="314"/>
        <w:spacing w:after="0" w:line="276" w:lineRule="auto"/>
        <w:tabs>
          <w:tab w:leader="none" w:pos="7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dedicate a substantial portion of our cash flow from operations to the repayment of our debt, thereby reducing the cash available for distribution to our stockholders, operations and capital expenditures, future investment opportunities or other purposes;</w:t>
      </w:r>
    </w:p>
    <w:p>
      <w:pPr>
        <w:spacing w:after="0" w:line="190" w:lineRule="exact"/>
        <w:rPr>
          <w:rFonts w:ascii="Times New Roman" w:cs="Times New Roman" w:eastAsia="Times New Roman" w:hAnsi="Times New Roman"/>
          <w:sz w:val="18"/>
          <w:szCs w:val="18"/>
          <w:color w:val="auto"/>
        </w:rPr>
      </w:pPr>
    </w:p>
    <w:p>
      <w:pPr>
        <w:ind w:left="800" w:hanging="314"/>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refinancing might not be as favorable as the terms of the debt being refinanced; and</w:t>
      </w:r>
    </w:p>
    <w:p>
      <w:pPr>
        <w:spacing w:after="0" w:line="246" w:lineRule="exact"/>
        <w:rPr>
          <w:rFonts w:ascii="Times New Roman" w:cs="Times New Roman" w:eastAsia="Times New Roman" w:hAnsi="Times New Roman"/>
          <w:sz w:val="18"/>
          <w:szCs w:val="18"/>
          <w:color w:val="auto"/>
        </w:rPr>
      </w:pPr>
    </w:p>
    <w:p>
      <w:pPr>
        <w:ind w:left="800" w:hanging="314"/>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leverage could adversely affect our stock price and our ability to make distributions to our stockholders.</w:t>
      </w:r>
    </w:p>
    <w:p>
      <w:pPr>
        <w:spacing w:after="0" w:line="246"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Due to increased borrowing costs or less favorable terms, refinanced debt could reduce the amounts available for distribution to our stockholders, as well as reduce funds available for our operations, future investment opportunities or other purposes.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may increase our interest expense.</w:t>
      </w:r>
    </w:p>
    <w:p>
      <w:pPr>
        <w:spacing w:after="0" w:line="250"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Interest rates are highly sensitive to many factors that are beyond our control, including general economic conditions and policies of various governmental and regulatory agencies. Higher interest rates could increase debt service requirements on any of our floating rate debt, including our unsecured term loans and any outstanding balance on our senior unsecured credit facility, and could reduce the amounts available for distribution to our stockholders, as well as reduce funds available for our operations, future business opportunities or other purposes. As of December 31, 2025, approximately 70% of our outstanding debt has unhedged variable interest rates.</w:t>
      </w:r>
    </w:p>
    <w:p>
      <w:pPr>
        <w:spacing w:after="0" w:line="211"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In addition, historically, during periods of increasing interest rates, real estate valuations have generally decreased as a result of rising capitalization rates, which tend to be positively correlated with interest rates. Consequently, prolonged periods of higher interest rates may negatively impact the valuation of our portfolio and result in the decline of the quoted trading price of our securities and market capitalization, as well as lower sales proceeds from future dispositions.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against interest rate exposure may adversely affect us.</w:t>
      </w:r>
    </w:p>
    <w:p>
      <w:pPr>
        <w:spacing w:after="0" w:line="250"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We manage certain exposure to interest rate volatility by using interest rate hedging, such as swap agreements, to hedge against the possible negative effects of interest rate fluctuations, and we may continue to do so in the future. However, hedging can be expensive, particularly during periods of volatile interest rates, available interest rate hedges may not correspond directly with the interest rate risk for which protection is sought, the duration of the interest rate hedge may not match the duration of the related liability, and we cannot assure you that any hedging will adequately mitigate the adverse effects of interest rate increases or that counterparties under these agreements will honor their obligations. In addition, if interest rates decline, our hedging arrangements may limit our ability to benefit from lower market rates and could result in higher interest expense than we would otherwise incur. As a result, our hedging transactions could have a material and adverse effect on our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and the Environment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Noncompliance with governmental regulations could adversely affect our operating results.</w:t>
      </w: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248" w:lineRule="exact"/>
        <w:rPr>
          <w:sz w:val="20"/>
          <w:szCs w:val="20"/>
          <w:color w:val="auto"/>
        </w:rPr>
      </w:pPr>
    </w:p>
    <w:p>
      <w:pPr>
        <w:jc w:val="both"/>
        <w:ind w:firstLine="440"/>
        <w:spacing w:after="0" w:line="250" w:lineRule="auto"/>
        <w:rPr>
          <w:sz w:val="20"/>
          <w:szCs w:val="20"/>
          <w:color w:val="auto"/>
        </w:rPr>
      </w:pPr>
      <w:r>
        <w:rPr>
          <w:rFonts w:ascii="Times New Roman" w:cs="Times New Roman" w:eastAsia="Times New Roman" w:hAnsi="Times New Roman"/>
          <w:sz w:val="18"/>
          <w:szCs w:val="18"/>
          <w:color w:val="auto"/>
        </w:rPr>
        <w:t>Our hotels are, and the hotels that we acquire in the future will be, subject to various federal, state and local environmental laws and regulations relating to environmental protection. Under these laws, courts and government agencies may have the authority to require us, as owner of a contaminated property, to clean up the property, even if we did not know of, or were not responsible for, the contamination. These laws apply to persons who owned a property at the time it became contaminated so we may incur cleanup costs or other environmental liabilities even after we sell a property. In addition to the costs of cleanup, environmental contamination can affect the value of a property and, therefore, an owner’s ability to borrow funds using the property as collateral or to sell the property. Additionally, under certain environmental laws, courts and government agencies also have the authority to require that (i) a person who sent waste to a waste disposal facility, such as a landfill or an incinerator, pay for the clean-up of that facility if it becomes contaminated and threatens human health or the environment and (ii) a person who arranges for the disposal or treatment, or transports for disposal or treatment, a hazardous substance at a property owned by another person pay for the costs of removal or remediation of hazardous substances released into the environment at that property.</w:t>
      </w:r>
    </w:p>
    <w:p>
      <w:pPr>
        <w:spacing w:after="0" w:line="216"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Our hotels are also subject to various federal, state, and local environmental, health and safety laws and regulations that address a wide variety of issues, including, but not limited to, storage tanks, air emissions from emergency generators, storm</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water and wastewater discharges, asbestos, lead-based paint, mold and mildew and waste management. Some of our hotels routinely handle and use hazardous or regulated substances and wastes as part of their operations, which substances and wastes are subject to regulation (e.g., swimming pool chemicals). Our hotels incur costs to comply with these laws and regulations, and could be subject to fines and penalties for noncompliance. Additionally, various court decisions have established that third parties may recover damages for injury caused by property contamination. For instance, a person exposed to asbestos while staying or working in a hotel may seek to recover damages if he or she suffers injury from the asbestos.</w:t>
      </w:r>
    </w:p>
    <w:p>
      <w:pPr>
        <w:spacing w:after="0" w:line="211"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color w:val="auto"/>
        </w:rPr>
        <w:t>Although we have taken and will take commercially reasonable steps to assess the condition of our properties, there may be unknown environmental problems associated with our properties. If environmental contamination exists on our properties, we could become subject to strict, joint and several liability for the contamination by virtue of our ownership interest. In addition, we are obligated to indemnify our lenders for any liability they may incur in connection with a contaminated property.</w:t>
      </w:r>
    </w:p>
    <w:p>
      <w:pPr>
        <w:spacing w:after="0" w:line="206"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We could be responsible for the costs associated with a contaminated property, including the costs to clean up a contaminated property or to defend against a claim, and such costs could have a material adverse effect on our results of operations and financial condition and our ability to pay dividends to our stockholders. Additionally, we regularly incur costs to comply with environmental laws and we cannot assure you that future laws or regulations will not impose material environmental liabilities or that the current environmental condition of our hotels will not be affected by the condition of the properties in the vicinity of our hotels (such as the presence of leaking underground storage tanks) or by third parties unrelated to us. In addition, treaties or laws related to carbon emissions or climate change could affect the operation of our properties or result in significant additional expense and operating restrictions on us or our hotel managers or adversely affect our ability to sell properties or to use properties as collateral.</w:t>
      </w: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Climate change</w:t>
      </w:r>
    </w:p>
    <w:p>
      <w:pPr>
        <w:spacing w:after="0" w:line="248"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In recent years, numerous regulations have been enacted to regulate or limit carbon emissions, including increased regulation for building efficiency and equipment specifications and investor requirements for environmental and social disclosures. The drive to limit carbon emissions and other climate change related regulations and any increase in investor requirements for climate related disclosures may require us to make significant investments in our hotels and could result in increased energy costs at our properties which could have a material adverse effect on our results of operations and our ability to make distributions to our stockholders.</w:t>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Americans with Disabilities Act and other changes in governmental rules and regulations.</w:t>
      </w:r>
    </w:p>
    <w:p>
      <w:pPr>
        <w:spacing w:after="0" w:line="248"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Our properties must comply with Title III of the Americans with Disabilities Act of 1990 (the “ADA”), to the extent that such properties are “public accommodations” as defined by the ADA. Under the ADA, all public accommodations must meet various federal non-discrimination requirements related to access and use by individuals with disabilities. Compliance with the ADA’s requirements could require removal of architectural barriers to access and non-compliance could result in the payment of civil penalties, damages, and attorneys' fees and costs. We believe that our properties are in substantial compliance with the ADA; however, the obligation to comply with the ADA is an ongoing one, and we will continue to assess our properties and to make alterations as appropriate in this regard. If we are required to make substantial modifications to our hotels, whether to comply with the ADA or other changes in governmental rules and regulations, our financial condition, results of operations and ability to make distributions to our stockholders could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hotel properties may contain or develop harmful mold, which could lead to liability for adverse health effects and costs of remediating the problem.</w:t>
      </w:r>
    </w:p>
    <w:p>
      <w:pPr>
        <w:spacing w:after="0" w:line="250"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When excessive moisture accumulates in buildings or on building materials, mold growth may occur, particularly if the moisture problem remains undiscovered or is not addressed over a period of time. Some molds may produce airborne toxins or irritants. Concern about indoor exposure to mold has been increasing, as exposure to mold may cause a variety of adverse health effects and symptoms, including allergic reactions. As a result, the presence of mold to which our hotel guests or employees could be exposed at any of our properties could require us to undertake a costly remediation program to contain or remove the mold from the affected property, which would reduce our cash available for distribution. In addition, exposure to mold by our guests or employees, management company employees or others could expose us to liability if property damage or adverse health concerns arise.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REIT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we will remain qualified as a REIT.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We believe that we are qualified to be taxed as a REIT for U.S. federal income tax purposes for our taxable year ended December 31, 2025, and we expect to continue to qualify as a REIT for future taxable years, but we cannot assure you that we have qualified, or will remain qualified, as a REIT. The REIT qualification requirements are extremely complex and official interpretations of the U.S. federal income tax laws governing qualification as a REIT are limited. Certain aspects of our REIT qualification are beyond our control. Additionally, although we generally do not directly employ or manage employees at our hotels, and our third-party managers are responsible for hiring, supervising and managing the labor force at our hotels, recent legislative proposals introduced in certain states and local jurisdictions have included provisions requiring that hotel owners be deemed an employer of workers at our hotels. Changes in laws or regulations relating to the employer relationship that result in a determination that we are a “joint employer” with our hotel operators could subject us to liability for employment-related and other liabilities of our hotel operators and could cause us to incur other costs that have a material adverse effect on our business (including our qualification for taxation as a REIT), financial condition and results of operations.</w:t>
      </w:r>
    </w:p>
    <w:p>
      <w:pPr>
        <w:spacing w:after="0" w:line="219"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Accordingly, we cannot be certain that we will be successful in operating so that we can remain qualified as a REIT. At any time, new laws, interpretations or court decisions may change the U.S. federal tax laws (or application thereof) or the U.S. federal income tax consequences of our qualification as a REIT. Moreover, our charter provides that our board of directors may revoke or otherwise terminate our REIT election, without the approval of our stockholders, if it determines that it is no longer in our best interest to continue to qualify as a REIT.</w:t>
      </w:r>
    </w:p>
    <w:p>
      <w:pPr>
        <w:spacing w:after="0" w:line="206"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If we fail to qualify as a REIT and do not qualify for certain statutory relief provisions, or otherwise cease to be a REIT, we will be subject to U.S. federal income tax on our taxable income at the corporate tax rate. We might need to borrow money or sell assets in order to pay any such tax. Also, we would not be allowed a deduction for dividends paid to our stockholders in computing our taxable income and we would no longer be compelled to make distributions under the Code. Unless we were entitled to relief under certain U.S. federal income tax laws, we could not re-elect REIT status until the fifth calendar year after the year in which we failed to qualify as a REIT. If we fail to qualify as a REIT but are eligible for certain relief provisions, then we may retain our status as a REIT, but we may be required to pay a penalty tax, which could be substantial.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Maintaining our REIT qualification contains certain restrictions and drawbacks.</w:t>
      </w: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Complying with REIT requirements may cause us to forgo otherwise attractive opportunities.</w:t>
      </w:r>
    </w:p>
    <w:p>
      <w:pPr>
        <w:spacing w:after="0" w:line="248"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To remain qualified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forgo attractive business or investment opportunities. For example, we may not lease to our TRS any hotel that contains gaming. Thus, compliance with the REIT requirements may hinder our ability to operate solely to maximize profits.</w:t>
      </w:r>
    </w:p>
    <w:p>
      <w:pPr>
        <w:spacing w:after="0" w:line="2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To qualify as a REIT, we must meet annual distribution requirements.</w:t>
      </w:r>
    </w:p>
    <w:p>
      <w:pPr>
        <w:spacing w:after="0" w:line="248"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In order to remain qualified as a REIT, we generally are required to distribute at least 90% of our REIT taxable income, determined without regard to the dividends paid deduction and excluding net capital gains, each year to our stockholders. To the extent that we satisfy this distribution requirement, but distribute less than 100% of our REIT taxable income, we will be subject to U.S. federal corporate income tax on our undistributed REIT taxable income. In addition, we will be subject to a 4% non-deductible excise tax if the actual amount that we pay out to our stockholders in a calendar year is less than a minimum amount specified under U.S. federal tax laws. As a result of differences between cash flow and the accrual of income and expenses for tax purposes, or non-deductible expenditures, for example, our REIT taxable income in any given year could exceed our cash available for distribution. Accordingly, we may be required to borrow money or sell assets at disadvantageous prices, distribute amounts that would otherwise be invested in future acquisitions or capital expenditures or used for the repayment of debt, pay dividends in the form of “taxable stock dividends” or find another alternative source of funds to make distributions sufficient to enable us to pay out enough of our taxable income to satisfy the distribution requirement and to avoid U.S. federal corporate income tax and the 4% nondeductible excise tax in a particular year.</w:t>
      </w: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Our ownership of our TRSs and TRS lessees increases our overall tax liability.</w:t>
      </w:r>
    </w:p>
    <w:p>
      <w:pPr>
        <w:spacing w:after="0" w:line="248"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Overall, no more than 20% (25% for taxable years commencing after December 31, 2025) of the value of a REIT’s assets may consist of stock or securities of one or more TRS. Our domestic TRS are subject to U.S. federal and state income tax on their taxable income. The taxable income of our TRS lessees currently consists and generally will continue to consist of revenues from the hotels leased by our TRS lessees plus, in certain cases, key money payments (amounts paid to us by a hotel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management company in exchange for the right to manage a hotel we acquire) and yield support payments, net of the operating expenses for such properties and rent payments to us. Such taxes could be substantial.</w:t>
      </w:r>
    </w:p>
    <w:p>
      <w:pPr>
        <w:spacing w:after="0" w:line="190"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We will be subject to a 100% excise tax to the extent that transactions with our TRSs are not conducted on an arm’s-length basis. For example, to the extent that the rent paid by one of our TRS lessees exceeds an arm’s-length rental amount, such excess is potentially subject to this excise tax. While we believe that we structure all of our leases on an arm’s-length basis, upon an audit, the IRS might disagree with our conclusion.</w:t>
      </w: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If the leases of our hotels to our TRS lessees are not respected as true leases for U.S. federal income tax purposes, we will fail to qualify as a REIT.</w:t>
      </w:r>
    </w:p>
    <w:p>
      <w:pPr>
        <w:spacing w:after="0" w:line="221"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To qualify as a REIT, we must annually satisfy two gross income tests, under which specified percentages of our gross income must be derived from certain sources, such as “rents from real property.” Rents paid to us by our TRS lessees pursuant to the leases of our hotels will constitute substantially all of our gross income. In order for such rent to qualify as “rents from real property” for purposes of the gross income tests, the leases must be respected as true leases for U.S. federal income tax purposes and not be treated as service contracts, financing arrangements, joint ventures or some other type of arrangement. If our leases are not respected as true leases for U.S. federal income tax purposes, we will fail to qualify as a REIT.</w:t>
      </w:r>
    </w:p>
    <w:p>
      <w:pPr>
        <w:spacing w:after="0" w:line="209" w:lineRule="exact"/>
        <w:rPr>
          <w:sz w:val="20"/>
          <w:szCs w:val="20"/>
          <w:color w:val="auto"/>
        </w:rPr>
      </w:pPr>
    </w:p>
    <w:p>
      <w:pPr>
        <w:ind w:left="80" w:right="160"/>
        <w:spacing w:after="0" w:line="278" w:lineRule="auto"/>
        <w:rPr>
          <w:sz w:val="20"/>
          <w:szCs w:val="20"/>
          <w:color w:val="auto"/>
        </w:rPr>
      </w:pPr>
      <w:r>
        <w:rPr>
          <w:rFonts w:ascii="Times New Roman" w:cs="Times New Roman" w:eastAsia="Times New Roman" w:hAnsi="Times New Roman"/>
          <w:sz w:val="18"/>
          <w:szCs w:val="18"/>
          <w:i w:val="1"/>
          <w:iCs w:val="1"/>
          <w:color w:val="auto"/>
        </w:rPr>
        <w:t>If any third-party hotel managers do not qualify as “eligible independent contractors” or if our hotels are not “qualified lodging facilities,” we will fail to qualify as a REIT.</w:t>
      </w:r>
    </w:p>
    <w:p>
      <w:pPr>
        <w:spacing w:after="0" w:line="189"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Rent paid by a lessee that is a “related party tenant” of ours will not be qualifying income for purposes of the two gross income tests applicable to REITs. An exception is provided, however, for leases of “qualified lodging facilities” to a TRS so long as the hotels are operated by an “eligible independent contractor” and certain other requirements are satisfied. Substantially all of our hotels are leased to our TRS lessees which have engaged third-party hotel managers that we believe qualify as “eligible independent contractors.” Among other requirements, an operator will qualify as an eligible independent contractor if it meets certain ownership tests with respect to us, and if, at the time the operator enters into a property management contract with a TRS or its TRS lessee with respect to one of our properties, the operator is actively engaged in the trade or business of operating “qualified lodging facilities” (as defined below) for one or more persons not related to the REIT or its TRSs. No assurances can be provided that any of our current and future hotel managers will in fact comply with this requirement. Failure to comply with this requirement would require us to find other hotel managers for future contracts, and, if we hired a management company without knowledge of the failure, it could jeopardize our status as a REIT.</w:t>
      </w:r>
    </w:p>
    <w:p>
      <w:pPr>
        <w:spacing w:after="0" w:line="219"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Finally, each property with respect to which our TRS lessees pay rent must be a “qualified lodging facility.” A “qualified lodging facility” is a hotel, motel, or other establishment in which more than one-half of the dwelling units are used on a transient basis, including customary amenities and facilities, provided that no wagering activities are conducted at or in connection with such facility by any person who is engaged in the business of accepting wagers and who is legally authorized to engage in such business at or in connection with such facility. We believe that the properties that are leased to our TRS lessees are qualified lodging facilities. Although we intend to monitor future acquisitions and improvements of properties, REIT provisions of the Code provide no or only limited guidance for making determinations under the requirements for qualified lodging facilities, and there can be no assurance that these requirements will be satisfied.</w:t>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You may be restricted from transferring our common stock.</w:t>
      </w:r>
    </w:p>
    <w:p>
      <w:pPr>
        <w:spacing w:after="0" w:line="248"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In order to maintain our REIT qualification, among other requirements, no more than 50% in value of our outstanding stock may be owned, directly or indirectly, by five or fewer individuals (as defined in the U.S. federal income tax laws to include certain entities) during the last half of any taxable year. In addition, the REIT rules generally prohibit a manager of one of our hotels from owning, directly or indirectly, more than 35% of our stock and a person who holds 35% or more of our stock from also holding, directly or indirectly, more than 35% of any such hotel management company. To qualify for and preserve REIT status, our charter contains certain share ownership limits. Generally, any shares of our stock owned by affiliated owners will be added together for purposes of the aggregate share ownership limit, and any shares of a specific class of stock, owned by affiliated owners will be added together for purposes of the share ownership limit for such class of stock.</w:t>
      </w:r>
    </w:p>
    <w:p>
      <w:pPr>
        <w:spacing w:after="0" w:line="211"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If anyone transfers or owns shares in a way that would violate a share ownership limit (unless such ownership limit has been waived by our board of directors), or would prevent us from continuing to qualify as a REIT under the U.S. federal income tax laws, those shares instead will be transferred to a trust for the benefit of a charitable beneficiary and will be either redeemed by us or sold to a person whose ownership of the shares will not violate the applicable share ownership limit. If this transfer to a trust would not be effective to prevent a violation of the ownership restrictions in our charter, then the initial intended transfer or ownership will be null and void from the outset. The intended transferee or owner of those shares will be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deemed never to have owned the shares. Anyone who acquires or owns shares in violation of the a share ownership limit (unless such ownership limit has been waived by our board of directors) or the other restrictions on transfer or ownership in our charter bears the risk of a financial loss when the shares are redeemed or sold if the market price of our stock falls between the date of purchase and the date of redemption or sale.</w:t>
      </w:r>
    </w:p>
    <w:p>
      <w:pPr>
        <w:spacing w:after="0" w:line="20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Even if we maintain our status as a REIT, in certain circumstances, we may be subject to U.S. federal and state income taxes, which would reduce our cash available for distribution to our stockholders.</w:t>
      </w:r>
    </w:p>
    <w:p>
      <w:pPr>
        <w:spacing w:after="0" w:line="186"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Even if we qualify and maintain our status as a REIT, we may be subject to U.S. federal income taxes or state taxes in various circumstances. For example, net income from a “prohibited transaction” will be subject to a 100% tax. In addition, we may not be able to distribute all of our income in any given year, which would result in corporate level taxes, and we may not make sufficient distributions to avoid excise taxes. We may also decide to retain certain gains from the sale or other disposition of our property and pay income tax directly on such gains. In that event, our stockholders would be required to include such gains in income and would receive a corresponding credit for their share of taxes paid by us. We may also be subject to U.S. state and local and non-U.S. taxes on our income or properties, either directly or at the level of our operating partnership or the other companies through which we indirectly own our assets. In addition, we may be subject to U.S. federal, state, local or non-U.S. taxes in other various circumstances. Any U.S. federal or state taxes that we pay will reduce our cash available for distribution to our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property taxes could increase due to property tax rate changes or reassessment, which could impact our cash flow.</w:t>
      </w:r>
    </w:p>
    <w:p>
      <w:pPr>
        <w:spacing w:after="0" w:line="250"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Even if we qualify and maintain our status as a REIT, we are required to pay state and local property taxes on our properties. The property taxes on our properties may increase as property tax rates change or as our properties are assessed or reassessed by taxing authorities. Therefore, the amount of property taxes we pay in the future may increase substantially from what we have paid in the past and such increases may not be offset by increased room rates at our hotels. If the property taxes we pay increase, our financial condition, results of operations, cash flow, per share trading price of our common stock and our ability to satisfy our principal and interest obligations and to make distributions to our stockholders may be negatively impacted.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 by REITs generally do not qualify for reduced tax rates.</w:t>
      </w:r>
    </w:p>
    <w:p>
      <w:pPr>
        <w:spacing w:after="0" w:line="250"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A maximum 20% tax rate applies to “qualified dividend income” payable to individual U.S. stockholders. Dividends payable by REITs, however, are generally not eligible for the reduced rates on qualified dividend income and are taxed at normal ordinary income tax rates (provided that non-corporate taxpayers generally may deduct 20% of their ordinary REIT dividends that are not “capital gain dividends” or “qualified dividend income”). However, to the extent that our dividends are attributable to certain dividends that we receive from a TRS, such dividends generally will be eligible for the reduced rates that apply to qualified dividend income (but will be ineligible for the 20% deduction). The more favorable rates applicable to regular corporate dividends could cause investors who are individuals to perceive investments in REITs to be relatively less attractive than investments in the stocks of non-REIT corporations that pay qualified dividend income, which could adversely affect the value of the stock of REITs, including our common stock. In addition, some non-REIT corporations may choose to pay dividends or increase dividends as a result of the lower effective corporate income tax rate. As a result, the trading price of our common stock may be negatively impacted.</w:t>
      </w:r>
    </w:p>
    <w:p>
      <w:pPr>
        <w:spacing w:after="0" w:line="21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of our operating partnership to be taxable as a partnership could cause us to fail to qualify as a REIT and we could suffer other adverse tax consequences.</w:t>
      </w:r>
    </w:p>
    <w:p>
      <w:pPr>
        <w:spacing w:after="0" w:line="186" w:lineRule="exact"/>
        <w:rPr>
          <w:sz w:val="20"/>
          <w:szCs w:val="20"/>
          <w:color w:val="auto"/>
        </w:rPr>
      </w:pPr>
    </w:p>
    <w:p>
      <w:pPr>
        <w:jc w:val="both"/>
        <w:ind w:firstLine="400"/>
        <w:spacing w:after="0" w:line="268" w:lineRule="auto"/>
        <w:rPr>
          <w:sz w:val="20"/>
          <w:szCs w:val="20"/>
          <w:color w:val="auto"/>
        </w:rPr>
      </w:pPr>
      <w:r>
        <w:rPr>
          <w:rFonts w:ascii="Times New Roman" w:cs="Times New Roman" w:eastAsia="Times New Roman" w:hAnsi="Times New Roman"/>
          <w:sz w:val="17"/>
          <w:szCs w:val="17"/>
          <w:color w:val="auto"/>
        </w:rPr>
        <w:t>We believe that our operating partnership will continue to be treated for U.S. federal income tax purposes as a partnership and not as an association or as a publicly traded partnership taxable as a corporation. As a partnership, the operating partnership generally will not be subject to U.S. federal income tax on its income. Instead, each of its partners, including us, will be allocated that partner’s share of the operating partnership’s income. No assurance can be provided, however, that the IRS will not challenge the operating partnership’s status as a partnership for U.S. federal income tax purposes, or that a court would not sustain such a challenge. If the IRS were to determine that our operating partnership was properly treated as an association or as a publicly traded partnership taxable as a corporation, our operating partnership would be required to pay U.S. federal income tax at corporate rates on its net income, its partners would be treated as stockholders of our operating partnership and distributions to partners would constitute distributions that would not be deductible in computing the operating partnership’s taxable income. In addition, we could fail to qualify as a REIT, with the resulting consequences described above.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action could adversely affect our stockholders.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In recent years, numerous legislative, judicial and administrative changes have been made to the U.S. federal income tax laws applicable to investments in REITs and similar entities. Additional changes to applicable tax laws are likely to continue to occur in the future, and we cannot assure our stockholders that any such changes will not adversely affect the taxation of a stockholder. Any such changes could have an adverse effect on an investment in our common stock. All stockholders are urged to consult with their tax advisors with respect to the status of legislative, regulatory or administrative developments and proposals and their potential effect on an investment in our common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 and Structure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charter may limit the ability of a third party to acquire control of our company.</w:t>
      </w:r>
    </w:p>
    <w:p>
      <w:pPr>
        <w:spacing w:after="0" w:line="250"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Our charter provides that no person may beneficially own more than 9.8% of the aggregate outstanding shares of our common stock, more than 9.8% of the value of the aggregate outstanding shares of our capital stock, except certain “look-through entities,” such as mutual funds, which may beneficially own up to 15% of the aggregate outstanding shares of our common stock, or up to 15% of the value of the aggregate outstanding shares of our capital stock. Our board of directors has waived this ownership limitation for certain investors. Our bylaws waive this ownership limitation for certain other classes of investors. These ownership limitations may prevent an acquisition of control of our company by a third party without our board of directors’ approval, even if our stockholders believe the change of control is in their best interests and even if such change in control would not reasonably jeopardize the Company's REIT status.</w:t>
      </w:r>
    </w:p>
    <w:p>
      <w:pPr>
        <w:spacing w:after="0" w:line="211"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Our charter also authorizes our board of directors to issue up to 400,000,000 shares of common stock and up to 10,000,000 shares of preferred stock, to classify or reclassify any unissued shares of common stock or preferred stock and to set the preferences, rights and other terms of the classified or reclassified shares. Furthermore, our board of directors may, without any action by the stockholders, amend our charter from time to time to increase or decrease the aggregate number of shares of stock of any class or series that we have authority to issue. Issuances of additional shares of stock may have the effect of delaying, deferring or preventing a transaction or a change in control of our company that might involve a premium to the market price of our common stock or otherwise be in our stockholders’ best interests.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advance notice provisions of our bylaws may limit the ability of a third party to acquire control of our company.</w:t>
      </w:r>
    </w:p>
    <w:p>
      <w:pPr>
        <w:spacing w:after="0" w:line="250" w:lineRule="exact"/>
        <w:rPr>
          <w:sz w:val="20"/>
          <w:szCs w:val="20"/>
          <w:color w:val="auto"/>
        </w:rPr>
      </w:pPr>
    </w:p>
    <w:p>
      <w:pPr>
        <w:jc w:val="both"/>
        <w:ind w:firstLine="400"/>
        <w:spacing w:after="0" w:line="258" w:lineRule="auto"/>
        <w:rPr>
          <w:sz w:val="20"/>
          <w:szCs w:val="20"/>
          <w:color w:val="auto"/>
        </w:rPr>
      </w:pPr>
      <w:r>
        <w:rPr>
          <w:rFonts w:ascii="Times New Roman" w:cs="Times New Roman" w:eastAsia="Times New Roman" w:hAnsi="Times New Roman"/>
          <w:sz w:val="18"/>
          <w:szCs w:val="18"/>
          <w:color w:val="auto"/>
        </w:rPr>
        <w:t>Our bylaws provide that (a) with respect to an annual meeting of stockholders, nominations of individuals for election to our board of directors and the proposal of other business to be considered by stockholders may be made only (i) pursuant to our notice of the meeting, (ii) by the board of directors or</w:t>
      </w:r>
    </w:p>
    <w:p>
      <w:pPr>
        <w:spacing w:after="0" w:line="1" w:lineRule="exact"/>
        <w:rPr>
          <w:sz w:val="20"/>
          <w:szCs w:val="20"/>
          <w:color w:val="auto"/>
        </w:rPr>
      </w:pPr>
    </w:p>
    <w:p>
      <w:pPr>
        <w:jc w:val="both"/>
        <w:ind w:firstLine="7"/>
        <w:spacing w:after="0" w:line="248" w:lineRule="auto"/>
        <w:tabs>
          <w:tab w:leader="none" w:pos="3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stockholder who is entitled to vote at the meeting and has complied with the advance notice procedures set forth in the bylaws and (b) with respect to special meetings of stockholders, only the business specified in our notice of meeting may be brought before the meeting of stockholders and nominations of individuals for election to the board of directors may be made only (A) by the board of directors or (B) provided that the board of directors has determined that directors shall be elected at such meeting by a stockholder who is entitled to vote at the meeting and has complied with the advance notice provisions set forth in the bylaws. These advance notice provisions may have the effect of delaying, deferring or preventing a transaction or a change in control of our company that might involve a premium to the market price of our common stock or otherwise be in our stockholders’ best interests.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have limited control over any changes that we make to our policies.</w:t>
      </w:r>
    </w:p>
    <w:p>
      <w:pPr>
        <w:spacing w:after="0" w:line="250"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Our board of directors determines our major policies, including policies related to our investment objectives, leverage, financing, growth and distributions to our stockholders. Our board of directors may amend or revise these policies without a vote of our stockholders, including our historical dividend policy. This means that our stockholders will have limited control over changes in our policies and those changes could adversely affect our business, financial condition, results of operations and our ability to make distributions to our stockholders.</w:t>
      </w:r>
    </w:p>
    <w:p>
      <w:pPr>
        <w:spacing w:after="0" w:line="20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senior executive officers whose continued service is not guaranteed, and changes in our senior executive officers may adversely affect the operation of our business.</w:t>
      </w:r>
    </w:p>
    <w:p>
      <w:pPr>
        <w:spacing w:after="0" w:line="186"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We depend on the efforts and expertise of our senior executive officers to manage our day-to-day operations and strategic business direction. Finding suitable replacements for senior executive officers can be difficult. The loss of any of their services could have a material adverse effect on our business, financial condition, results of operations and our ability to make distributions to our stockholders.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1" w:lineRule="exact"/>
        <w:rPr>
          <w:sz w:val="20"/>
          <w:szCs w:val="20"/>
          <w:color w:val="auto"/>
        </w:rPr>
      </w:pPr>
    </w:p>
    <w:p>
      <w:pPr>
        <w:ind w:right="80"/>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We have entered into an agreement with each of our senior executive officers that provides each of them benefits in the event that his or her employment is terminated by us without cause, by him or her for good reason or under certain circumstances following a change of control of our company.</w:t>
      </w:r>
    </w:p>
    <w:p>
      <w:pPr>
        <w:spacing w:after="0" w:line="164"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have entered into an agreement with each of our senior executive officers that provides each of them with severance benefits if his or her employment is terminated under certain circumstances following a change of control of our company. Certain of these benefits and the related tax indemnity in the case of certain executive officers could prevent or deter a change of control of our company that might involve a premium price for our common stock or otherwise be in the best interests of our stockholders or decrease the value that stockholders receive in such a change of control.</w:t>
      </w:r>
    </w:p>
    <w:p>
      <w:pPr>
        <w:spacing w:after="0" w:line="202"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flows from our operations to make distributions to our stockholders at expected levels, and we cannot assure you of our ability to make distributions in the future.</w:t>
      </w:r>
    </w:p>
    <w:p>
      <w:pPr>
        <w:spacing w:after="0" w:line="186"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We are required to pay dividends that represent at least 90% of our REIT taxable income. Our ability to make these distributions may be adversely affected by the factors, risks and uncertainties described in this Annual Report on Form 10-K and other reports that we file from time to time with the SEC. Our board of directors has the sole discretion to determine the timing, form and amount of any distribution to our stockholders and will make determinations regarding distributions based upon many facts, including our financial performance, our debt service obligations, our debt covenants, our capital expenditure requirements, the requirements for qualification as a REIT and other factors that our board of directors may deem relevant from time to time. As a result, no assurance can be given that we will be able to make distributions to our stockholders at expected levels, or at all, or that distributions will increase or even be maintained over time, any of which could materially and adversely affect the market price of our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conditions could adversely affect the market price of our common stock.</w:t>
      </w:r>
    </w:p>
    <w:p>
      <w:pPr>
        <w:spacing w:after="0" w:line="250"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As with other publicly traded equity securities, the value of our common stock depends on various market conditions that may change from time to time. Among the market conditions that may affect the value of our common stock are the following:</w:t>
      </w:r>
    </w:p>
    <w:p>
      <w:pPr>
        <w:spacing w:after="0" w:line="190" w:lineRule="exact"/>
        <w:rPr>
          <w:sz w:val="20"/>
          <w:szCs w:val="20"/>
          <w:color w:val="auto"/>
        </w:rPr>
      </w:pPr>
    </w:p>
    <w:p>
      <w:pPr>
        <w:ind w:left="800" w:hanging="314"/>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investor interest in our securities;</w:t>
      </w:r>
    </w:p>
    <w:p>
      <w:pPr>
        <w:spacing w:after="0" w:line="246" w:lineRule="exact"/>
        <w:rPr>
          <w:rFonts w:ascii="Times New Roman" w:cs="Times New Roman" w:eastAsia="Times New Roman" w:hAnsi="Times New Roman"/>
          <w:sz w:val="18"/>
          <w:szCs w:val="18"/>
          <w:color w:val="auto"/>
        </w:rPr>
      </w:pPr>
    </w:p>
    <w:p>
      <w:pPr>
        <w:ind w:left="800" w:hanging="314"/>
        <w:spacing w:after="0" w:line="276" w:lineRule="auto"/>
        <w:tabs>
          <w:tab w:leader="none" w:pos="7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reputation of REITs and the attractiveness of our equity securities in comparison to other equity securities, including securities issued by other real estate-based companies;</w:t>
      </w:r>
    </w:p>
    <w:p>
      <w:pPr>
        <w:spacing w:after="0" w:line="190" w:lineRule="exact"/>
        <w:rPr>
          <w:rFonts w:ascii="Times New Roman" w:cs="Times New Roman" w:eastAsia="Times New Roman" w:hAnsi="Times New Roman"/>
          <w:sz w:val="18"/>
          <w:szCs w:val="18"/>
          <w:color w:val="auto"/>
        </w:rPr>
      </w:pPr>
    </w:p>
    <w:p>
      <w:pPr>
        <w:ind w:left="800" w:hanging="314"/>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asset value of our hotels;</w:t>
      </w:r>
    </w:p>
    <w:p>
      <w:pPr>
        <w:spacing w:after="0" w:line="246" w:lineRule="exact"/>
        <w:rPr>
          <w:rFonts w:ascii="Times New Roman" w:cs="Times New Roman" w:eastAsia="Times New Roman" w:hAnsi="Times New Roman"/>
          <w:sz w:val="18"/>
          <w:szCs w:val="18"/>
          <w:color w:val="auto"/>
        </w:rPr>
      </w:pPr>
    </w:p>
    <w:p>
      <w:pPr>
        <w:ind w:left="800" w:hanging="314"/>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confidence in the stock and bond markets, generally;</w:t>
      </w:r>
    </w:p>
    <w:p>
      <w:pPr>
        <w:spacing w:after="0" w:line="246" w:lineRule="exact"/>
        <w:rPr>
          <w:rFonts w:ascii="Times New Roman" w:cs="Times New Roman" w:eastAsia="Times New Roman" w:hAnsi="Times New Roman"/>
          <w:sz w:val="18"/>
          <w:szCs w:val="18"/>
          <w:color w:val="auto"/>
        </w:rPr>
      </w:pPr>
    </w:p>
    <w:p>
      <w:pPr>
        <w:ind w:left="800" w:hanging="314"/>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local economic conditions;</w:t>
      </w:r>
    </w:p>
    <w:p>
      <w:pPr>
        <w:spacing w:after="0" w:line="246" w:lineRule="exact"/>
        <w:rPr>
          <w:rFonts w:ascii="Times New Roman" w:cs="Times New Roman" w:eastAsia="Times New Roman" w:hAnsi="Times New Roman"/>
          <w:sz w:val="18"/>
          <w:szCs w:val="18"/>
          <w:color w:val="auto"/>
        </w:rPr>
      </w:pPr>
    </w:p>
    <w:p>
      <w:pPr>
        <w:ind w:left="800" w:hanging="314"/>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w:t>
      </w:r>
    </w:p>
    <w:p>
      <w:pPr>
        <w:spacing w:after="0" w:line="246" w:lineRule="exact"/>
        <w:rPr>
          <w:rFonts w:ascii="Times New Roman" w:cs="Times New Roman" w:eastAsia="Times New Roman" w:hAnsi="Times New Roman"/>
          <w:sz w:val="18"/>
          <w:szCs w:val="18"/>
          <w:color w:val="auto"/>
        </w:rPr>
      </w:pPr>
    </w:p>
    <w:p>
      <w:pPr>
        <w:ind w:left="800" w:hanging="314"/>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246" w:lineRule="exact"/>
        <w:rPr>
          <w:rFonts w:ascii="Times New Roman" w:cs="Times New Roman" w:eastAsia="Times New Roman" w:hAnsi="Times New Roman"/>
          <w:sz w:val="18"/>
          <w:szCs w:val="18"/>
          <w:color w:val="auto"/>
        </w:rPr>
      </w:pPr>
    </w:p>
    <w:p>
      <w:pPr>
        <w:ind w:left="800" w:hanging="314"/>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stock and bond market conditions.</w:t>
      </w:r>
    </w:p>
    <w:p>
      <w:pPr>
        <w:spacing w:after="0" w:line="233" w:lineRule="exact"/>
        <w:rPr>
          <w:sz w:val="20"/>
          <w:szCs w:val="20"/>
          <w:color w:val="auto"/>
        </w:rPr>
      </w:pPr>
    </w:p>
    <w:p>
      <w:pPr>
        <w:ind w:right="100" w:firstLine="400"/>
        <w:spacing w:after="0" w:line="254" w:lineRule="auto"/>
        <w:rPr>
          <w:sz w:val="20"/>
          <w:szCs w:val="20"/>
          <w:color w:val="auto"/>
        </w:rPr>
      </w:pPr>
      <w:r>
        <w:rPr>
          <w:rFonts w:ascii="Times New Roman" w:cs="Times New Roman" w:eastAsia="Times New Roman" w:hAnsi="Times New Roman"/>
          <w:sz w:val="17"/>
          <w:szCs w:val="17"/>
          <w:color w:val="auto"/>
        </w:rPr>
        <w:t>The market price of our common stock has been highly volatile in the past, and investors in our common stock may experience a decrease in the value of their shares, including decreases unrelated to our operating performance or prospects. In the past, securities class action litigation has often been instituted against companies following periods of volatility in their stock price. This type of litigation could result in substantial costs and divert our management’s attention and resources. The market value of our common stock is based primarily upon the market’s perception of our growth potential and our current and potential future earnings and cash distributions. Consequently, our common stock may trade at prices that are greater or less than our net asset value per share. If our future earnings or cash distributions are less than expected, it is likely that the market price of our common stock will diminish.</w:t>
      </w:r>
    </w:p>
    <w:p>
      <w:pPr>
        <w:spacing w:after="0" w:line="211" w:lineRule="exact"/>
        <w:rPr>
          <w:sz w:val="20"/>
          <w:szCs w:val="20"/>
          <w:color w:val="auto"/>
        </w:rPr>
      </w:pPr>
    </w:p>
    <w:p>
      <w:pPr>
        <w:ind w:right="140" w:firstLine="400"/>
        <w:spacing w:after="0" w:line="265" w:lineRule="auto"/>
        <w:rPr>
          <w:sz w:val="20"/>
          <w:szCs w:val="20"/>
          <w:color w:val="auto"/>
        </w:rPr>
      </w:pPr>
      <w:r>
        <w:rPr>
          <w:rFonts w:ascii="Times New Roman" w:cs="Times New Roman" w:eastAsia="Times New Roman" w:hAnsi="Times New Roman"/>
          <w:sz w:val="17"/>
          <w:szCs w:val="17"/>
          <w:color w:val="auto"/>
        </w:rPr>
        <w:t>In addition, interest rates have increased significantly in recent years and may remain elevated in the near term. The market for common shares and preferred shares of publicly traded REITs may be influenced by the distribution yield on their shares (i.e., the amount of annual distributions as a percentage of the market price of their shares) relative to market interest rates. As market interest rates increase, prospective purchasers of REIT common shares and preferred shares may seek to achieve a higher distribution yield, which we may not be able to, or may choose not to, provide. Thus, higher market interest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rates could cause the returns on investment in our common stock to be relatively less attractive to our investors and the market price of our common stock to decline. Additionally, higher market interest rates may adversely impact the market values of our hotels, which may be reflected in the market price of our common stock.</w:t>
      </w:r>
    </w:p>
    <w:p>
      <w:pPr>
        <w:spacing w:after="0" w:line="19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which could have a material adverse effect on our financial condition, results of operations, cash flow and trading price of our common stock.</w:t>
      </w:r>
    </w:p>
    <w:p>
      <w:pPr>
        <w:spacing w:after="0" w:line="186"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We may be subject to litigation. In addition, we generally indemnify third-party hotel managers for legal costs resulting from management of our hotels. Some of these claims may result in defense costs, settlements, fines or judgments against us, some of which are not covered by insurance. The outcome of these legal proceedings cannot be predicted. Payment of any such costs, settlements, fines or judgments that are not insured could have a material adverse impact on our financial position and results of operations. In addition, certain litigation or the resolution of certain litigation may affect the availability or cost of some of our insurance coverage, which could adversely impact our results of operations and cash flows, expose us to increased risks that would be uninsured and/or adversely impact our ability to attract officers and directors.</w:t>
      </w:r>
    </w:p>
    <w:p>
      <w:pPr>
        <w:spacing w:after="0" w:line="2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our common stock or our operating partnership’s common OP units, may depress the market price of our common stock and have a dilutive effect on our existing stockholders.</w:t>
      </w:r>
    </w:p>
    <w:p>
      <w:pPr>
        <w:spacing w:after="0" w:line="186"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cannot predict whether future issuances of our common stock or the availability of shares for resale in the open market may depress the market price of our common stock. Future issuances or sales of a substantial number of shares of our common stock in the public market, or the issuance of our common stock in connection with future property, portfolio or business acquisitions, or the perception that such issuances or sales might occur, may cause the market price of our shares to decline. In addition, future issuances or sales of our common stock may be dilutive to existing stockholders.</w:t>
      </w:r>
    </w:p>
    <w:p>
      <w:pPr>
        <w:spacing w:after="0" w:line="206"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Our December 2018 acquisition of Cavallo Point, The Lodge at the Golden Gate was partially funded by the issuance by our operating partnership of common OP units, which became redeemable by the sellers after the one-year anniversary of such issuance for cash or, at our election, on a one-for-one basis for shares of our common stock. Pursuant to the terms of the contribution agreement governing our acquisition of Cavallo Point, if any of the common OP units are outstanding seven years after their issuance, we have the option to redeem them for cash or shares of our common stock, at our election. In the future, our operating partnership may issue additional common OP units to acquire additional properties or portfolios. Such common OP unit issuances would reduce our ownership interest in the operating partnership and may in the future result in dilution of our shareholders’ equity interests.</w:t>
      </w:r>
    </w:p>
    <w:p>
      <w:pPr>
        <w:spacing w:after="0" w:line="2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securities or preferred stock, which would be senior to our common stock upon liquidation and for the purpose of distributions, may cause the market price of our common stock to decline.</w:t>
      </w:r>
    </w:p>
    <w:p>
      <w:pPr>
        <w:spacing w:after="0" w:line="186"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In the future, we may increase our capital resources by making additional offerings of debt or equity securities, which may include senior or subordinated notes, classes of preferred stock and/or common stock. We will be able to issue additional shares of common stock or preferred stock without stockholder approval, unless stockholder approval is required by applicable law or the rules of any stock exchange or automated quotation system on which our securities may be listed or traded. Upon liquidation, holders of our debt securities and shares of preferred stock and lenders with respect to other borrowings will receive a distribution of our available assets prior to the holders of our common stock. Additional equity offerings could significantly dilute the holdings of our existing stockholders or reduce the market price of our common stock, or both. Holders of our common stock are not entitled to preemptive rights or other protections against dilution. Preferred stock and debt, if issued, could have a preference on liquidating distributions or a preference on dividend or interest payments that could limit our ability to make distributions to the holders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 and diluting their interest.</w:t>
      </w:r>
    </w:p>
    <w:p>
      <w:pPr>
        <w:spacing w:after="0" w:line="21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repurchase our common stock pursuant to our share repurchase program or that our share repurchase program will enhance long-term stockholder value. Share repurchases could also increase the volatility of the price of our common stock and could diminish our cash reserves.</w:t>
      </w:r>
    </w:p>
    <w:p>
      <w:pPr>
        <w:spacing w:after="0" w:line="18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18"/>
          <w:szCs w:val="18"/>
          <w:color w:val="auto"/>
        </w:rPr>
        <w:t>The timing, manner, price and actual number of shares repurchased under our share repurchase program will depend on a variety of factors including stock price, corporate and regulatory requirements, market conditions, and other corporate liquidity requirements and priorities. Our share repurchase program may be limited, suspended or terminated at any time without prior notice. In addition, repurchases of our common stock pursuant to our share repurchase program could affect our stock price and increase its volatility. The existence or use of our share repurchase program may cause our stock price to be higher than it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would otherwise be, and could potentially reduce the market liquidity for our stock. Additionally, our share repurchase program could diminish our cash reserves, which may impact our ability to finance future growth and to pursue any possible future strategic opportunities or acquisitions. There can be no assurance that any share repurchases will enhance stockholder value because the market price of our common stock may decline below the levels at which we repurchased shares of stock. Although our share repurchase program is intended to enhance long-term stockholder value, there is no assurance that it will do so, and short-term stock price fluctuations could reduce the program’s effectiveness.</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UPREIT structure may result in potential conflicts of interest with limited partners in our operating partnership whose interests may not be aligned with those of our stockholders.</w:t>
      </w:r>
    </w:p>
    <w:p>
      <w:pPr>
        <w:spacing w:after="0" w:line="187"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Limited partners in our operating partnership have the right to vote on certain amendments to the agreement that governs our operating partnership, as well as on certain other matters. Persons holding such voting rights may exercise them in a manner that conflicts with our stockholders’ interests. As general partner of our operating partnership, we are obligated to act in a manner that is in the best interests of all partners of our operating partnership. Circumstances may arise in the future when the interests of limited partners in our operating partnership may conflict with the interests of our stockholders. These conflicts may be resolved in a manner that some stockholders believe is not in their best interests.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248"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We and our hotel managers rely on information technology in our operations, and any material failures, inadequacies, interruptions, security failures, social engineering attacks or cyber-attacks could harm our business. To help manage these risks, we engage and rely on external experts, internal auditors, and third-party assessors, including an information technology managed services provider (the “MSP”) and a managed security services provider (the “MSSP”). Due to our REIT structure, the cybersecurity program, processes and strategy described in this section are primarily limited to the corporate systems, information and service providers belonging to or supporting the REIT. In 2025, we strengthened our technology and cybersecurity governance by adding a senior technology and security professional to our IT leadership team. This role is responsible for strengthening internal ownership of our technology and cybersecurity governance and providing oversight over both our MSP and MSSP. This individual brings extensive experience in cybersecurity and information security services, including security operations, threat detection and response, vulnerability management, incident response, and compliance oversight aligned with recognized frameworks such as the National Institute of Standards and Technology Cybersecurity Framework.</w:t>
      </w:r>
    </w:p>
    <w:p>
      <w:pPr>
        <w:spacing w:after="0" w:line="219"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Our current view of cybersecurity risk is informed by third-party risk assessments and ongoing monitoring and testing activities designed to identify and evaluate cybersecurity vulnerabilities and emerging threats, including periodic vulnerability scans, penetration testing and reviews of key service provider assurance reports and security documentation, where appropriate. Our MSP and MSSP also conduct periodic assessments of certain applications to determine, in part, any necessary security improvements. Our senior management reviews information provided by third-party assessors and our MSP and MSSP to determine the appropriate treatment of identified risks. Cybersecurity risks are assessed within our broader enterprise risk management processes and are reported through established governance and escalation channels. We maintain information technology policies and procedures, including incident response and disaster recovery plans, and we periodically evaluate these procedures, including through tabletop exercises.</w:t>
      </w:r>
    </w:p>
    <w:p>
      <w:pPr>
        <w:spacing w:after="0" w:line="211"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Because our hotels are operated by third parties, our cybersecurity program is primarily designed around the Company’s corporate technology environment and the vendors and service providers that support our corporate functions. We do not manage hotel operations, and the day-to-day operation of our properties, including many of the technology systems used at the hotels, is performed by independent hotel managers and, where applicable, franchisors. Those operators and brands utilize their own systems and service providers to support hotel activity. Given this structure, our control over those hotel-operator and franchisor systems is limited. We rely on the cybersecurity programs and controls implemented by those third parties to address cyber-related risks in hotel operations. While we maintain governance and oversight of our corporate systems through our MSP and MSSP relationships, we look to our hotel managers and franchisors to manage cybersecurity within their environments. To better understand and assess our exposure, we periodically gather information from our hotel managers regarding their cybersecurity programs and practices and follow up, as appropriate, on identified areas of risk. In addition, our hotel managers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franchisors often maintain their own cyber insurance coverage, and we also maintain cyber insurance intended to provide supplemental protection.</w:t>
      </w:r>
    </w:p>
    <w:p>
      <w:pPr>
        <w:spacing w:after="0" w:line="246"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We, like other companies in our industry, face a number of cybersecurity risks in connection with our business. Although such risks have not materially affected us, including our business strategy, results of operations or financial condition, to date, we have, from time to time, experienced threats to and security incidents related to our data and systems. As of and for the three years ended December 31, 2025, we have not had any known instances of material cybersecurity incidents, including third-party incidents, and have not experienced a cyber-related incident that has materially affected our business, results of operations or financial condition. For more information about the cybersecurity risks we face, see Item 1A "Risk Factors."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248"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DiamondRock engages a MSP and MSSP to assist us with the identification, monitoring, and management of cybersecurity risks. Management, including our Chief Accounting Officer, Chief Financial Officer &amp; Treasurer and General Counsel &amp; Chief Risk Officer (collectively, the "Senior Risk Management Team"), oversees cybersecurity risk management activities and receives updates from internal technology leadership and our MSP and MSSP. The Senior Risk Management Team then briefs the Board on information regarding security matters at least quarterly. Additionally, we provide cybersecurity training for all Board members and our employees.</w:t>
      </w:r>
    </w:p>
    <w:p>
      <w:pPr>
        <w:spacing w:after="0" w:line="211"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As part of its charter, the Audit Committee oversees our policies with respect to risk assessment and risk management, including with respect to cybersecurity risks. The Audit Committee administers its risk oversight function by receiving regular reports from members of the Senior Risk Management Team, on areas of material risk to the Company. Our Audit Committee discusses DiamondRock’s cybersecurity program at least annually, and receives quarterly updates from internal audit or management on cybersecurity incidents or other developments. Our Audit Committee reports on these matters to our Board of Directors as needed.</w:t>
      </w:r>
    </w:p>
    <w:p>
      <w:pPr>
        <w:spacing w:after="0" w:line="211"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Our Board of Directors plays an important role in the risk oversight of the Company. Our Board is involved in risk oversight through its direct decision-making authority with respect to significant matters and the oversight of management by the Board’s committees. Our Board also relies on management to bring significant matters impacting DiamondRock to its attention.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for each of our hotels owned as of December 31, 2025.</w:t>
      </w:r>
    </w:p>
    <w:p>
      <w:pPr>
        <w:spacing w:after="0" w:line="15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Hotel</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City</w:t>
            </w: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Class </w:t>
            </w:r>
            <w:r>
              <w:rPr>
                <w:rFonts w:ascii="Times New Roman" w:cs="Times New Roman" w:eastAsia="Times New Roman" w:hAnsi="Times New Roman"/>
                <w:sz w:val="18"/>
                <w:szCs w:val="18"/>
                <w:b w:val="1"/>
                <w:bCs w:val="1"/>
                <w:color w:val="auto"/>
                <w:vertAlign w:val="superscript"/>
              </w:rPr>
              <w:t>(1)</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40" w:type="dxa"/>
            <w:vAlign w:val="bottom"/>
          </w:tcPr>
          <w:p>
            <w:pPr>
              <w:spacing w:after="0"/>
              <w:rPr>
                <w:sz w:val="13"/>
                <w:szCs w:val="13"/>
                <w:color w:val="auto"/>
              </w:rPr>
            </w:pP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Manager</w:t>
            </w:r>
          </w:p>
        </w:tc>
        <w:tc>
          <w:tcPr>
            <w:tcW w:w="0" w:type="dxa"/>
            <w:vAlign w:val="bottom"/>
          </w:tcPr>
          <w:p>
            <w:pPr>
              <w:spacing w:after="0"/>
              <w:rPr>
                <w:sz w:val="1"/>
                <w:szCs w:val="1"/>
                <w:color w:val="auto"/>
              </w:rPr>
            </w:pPr>
          </w:p>
        </w:tc>
      </w:tr>
      <w:tr>
        <w:trPr>
          <w:trHeight w:val="200"/>
        </w:trPr>
        <w:tc>
          <w:tcPr>
            <w:tcW w:w="216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1980" w:type="dxa"/>
            <w:vAlign w:val="bottom"/>
            <w:tcBorders>
              <w:top w:val="single" w:sz="8" w:color="auto"/>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Chicago Marriott Downtown</w:t>
            </w:r>
          </w:p>
        </w:tc>
        <w:tc>
          <w:tcPr>
            <w:tcW w:w="1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Chicago</w:t>
            </w:r>
          </w:p>
        </w:tc>
        <w:tc>
          <w:tcPr>
            <w:tcW w:w="14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Illinois</w:t>
            </w:r>
          </w:p>
        </w:tc>
        <w:tc>
          <w:tcPr>
            <w:tcW w:w="16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Upper Upscale</w:t>
            </w: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Full Service</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9"/>
              <w:spacing w:after="0" w:line="127" w:lineRule="exact"/>
              <w:rPr>
                <w:sz w:val="20"/>
                <w:szCs w:val="20"/>
                <w:color w:val="auto"/>
              </w:rPr>
            </w:pPr>
            <w:r>
              <w:rPr>
                <w:rFonts w:ascii="Times New Roman" w:cs="Times New Roman" w:eastAsia="Times New Roman" w:hAnsi="Times New Roman"/>
                <w:sz w:val="14"/>
                <w:szCs w:val="14"/>
                <w:color w:val="auto"/>
              </w:rPr>
              <w:t>1,200</w:t>
            </w:r>
          </w:p>
        </w:tc>
        <w:tc>
          <w:tcPr>
            <w:tcW w:w="14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Marriott</w:t>
            </w:r>
          </w:p>
        </w:tc>
        <w:tc>
          <w:tcPr>
            <w:tcW w:w="0" w:type="dxa"/>
            <w:vAlign w:val="bottom"/>
          </w:tcPr>
          <w:p>
            <w:pPr>
              <w:spacing w:after="0"/>
              <w:rPr>
                <w:sz w:val="1"/>
                <w:szCs w:val="1"/>
                <w:color w:val="auto"/>
              </w:rPr>
            </w:pPr>
          </w:p>
        </w:tc>
      </w:tr>
      <w:tr>
        <w:trPr>
          <w:trHeight w:val="20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Magnificent Mile</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Westin Boston Seaport District</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Boston</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Massachusetts</w:t>
            </w: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793</w:t>
            </w:r>
          </w:p>
        </w:tc>
        <w:tc>
          <w:tcPr>
            <w:tcW w:w="140" w:type="dxa"/>
            <w:vAlign w:val="bottom"/>
          </w:tcPr>
          <w:p>
            <w:pPr>
              <w:spacing w:after="0"/>
              <w:rPr>
                <w:sz w:val="16"/>
                <w:szCs w:val="16"/>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0" w:type="dxa"/>
            <w:vAlign w:val="bottom"/>
          </w:tcPr>
          <w:p>
            <w:pPr>
              <w:spacing w:after="0"/>
              <w:rPr>
                <w:sz w:val="1"/>
                <w:szCs w:val="1"/>
                <w:color w:val="auto"/>
              </w:rPr>
            </w:pPr>
          </w:p>
        </w:tc>
      </w:tr>
      <w:tr>
        <w:trPr>
          <w:trHeight w:val="82"/>
        </w:trPr>
        <w:tc>
          <w:tcPr>
            <w:tcW w:w="1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16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Salt Lake City Marriott</w:t>
            </w:r>
          </w:p>
        </w:tc>
        <w:tc>
          <w:tcPr>
            <w:tcW w:w="11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Salt Lake City</w:t>
            </w:r>
          </w:p>
        </w:tc>
        <w:tc>
          <w:tcPr>
            <w:tcW w:w="12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Utah</w:t>
            </w:r>
          </w:p>
        </w:tc>
        <w:tc>
          <w:tcPr>
            <w:tcW w:w="11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510</w:t>
            </w:r>
          </w:p>
        </w:tc>
        <w:tc>
          <w:tcPr>
            <w:tcW w:w="140" w:type="dxa"/>
            <w:vAlign w:val="bottom"/>
            <w:shd w:val="clear" w:color="auto" w:fill="CCEEFF"/>
          </w:tcPr>
          <w:p>
            <w:pPr>
              <w:spacing w:after="0"/>
              <w:rPr>
                <w:sz w:val="11"/>
                <w:szCs w:val="11"/>
                <w:color w:val="auto"/>
              </w:rPr>
            </w:pPr>
          </w:p>
        </w:tc>
        <w:tc>
          <w:tcPr>
            <w:tcW w:w="14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HEI Hotels &amp; Resorts</w:t>
            </w:r>
          </w:p>
        </w:tc>
        <w:tc>
          <w:tcPr>
            <w:tcW w:w="0" w:type="dxa"/>
            <w:vAlign w:val="bottom"/>
          </w:tcPr>
          <w:p>
            <w:pPr>
              <w:spacing w:after="0"/>
              <w:rPr>
                <w:sz w:val="1"/>
                <w:szCs w:val="1"/>
                <w:color w:val="auto"/>
              </w:rPr>
            </w:pPr>
          </w:p>
        </w:tc>
      </w:tr>
      <w:tr>
        <w:trPr>
          <w:trHeight w:val="20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Downtown at City Creek</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Worthington Renaissance Fort</w:t>
            </w:r>
          </w:p>
        </w:tc>
        <w:tc>
          <w:tcPr>
            <w:tcW w:w="11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Fort Worth</w:t>
            </w:r>
          </w:p>
        </w:tc>
        <w:tc>
          <w:tcPr>
            <w:tcW w:w="12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Texas</w:t>
            </w:r>
          </w:p>
        </w:tc>
        <w:tc>
          <w:tcPr>
            <w:tcW w:w="11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504</w:t>
            </w:r>
          </w:p>
        </w:tc>
        <w:tc>
          <w:tcPr>
            <w:tcW w:w="140" w:type="dxa"/>
            <w:vAlign w:val="bottom"/>
          </w:tcPr>
          <w:p>
            <w:pPr>
              <w:spacing w:after="0"/>
              <w:rPr>
                <w:sz w:val="11"/>
                <w:szCs w:val="11"/>
                <w:color w:val="auto"/>
              </w:rPr>
            </w:pPr>
          </w:p>
        </w:tc>
        <w:tc>
          <w:tcPr>
            <w:tcW w:w="14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Marriott</w:t>
            </w:r>
          </w:p>
        </w:tc>
        <w:tc>
          <w:tcPr>
            <w:tcW w:w="0" w:type="dxa"/>
            <w:vAlign w:val="bottom"/>
          </w:tcPr>
          <w:p>
            <w:pPr>
              <w:spacing w:after="0"/>
              <w:rPr>
                <w:sz w:val="1"/>
                <w:szCs w:val="1"/>
                <w:color w:val="auto"/>
              </w:rPr>
            </w:pPr>
          </w:p>
        </w:tc>
      </w:tr>
      <w:tr>
        <w:trPr>
          <w:trHeight w:val="19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Worth Hotel</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Westin San Diego Bayview</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 Diego</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California</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436</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0" w:type="dxa"/>
            <w:vAlign w:val="bottom"/>
          </w:tcPr>
          <w:p>
            <w:pPr>
              <w:spacing w:after="0"/>
              <w:rPr>
                <w:sz w:val="1"/>
                <w:szCs w:val="1"/>
                <w:color w:val="auto"/>
              </w:rPr>
            </w:pPr>
          </w:p>
        </w:tc>
      </w:tr>
      <w:tr>
        <w:trPr>
          <w:trHeight w:val="82"/>
        </w:trPr>
        <w:tc>
          <w:tcPr>
            <w:tcW w:w="1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Westin Fort Lauderdale Beach</w:t>
            </w:r>
          </w:p>
        </w:tc>
        <w:tc>
          <w:tcPr>
            <w:tcW w:w="11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Fort Lauderdale</w:t>
            </w:r>
          </w:p>
        </w:tc>
        <w:tc>
          <w:tcPr>
            <w:tcW w:w="12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Florida</w:t>
            </w:r>
          </w:p>
        </w:tc>
        <w:tc>
          <w:tcPr>
            <w:tcW w:w="11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432</w:t>
            </w:r>
          </w:p>
        </w:tc>
        <w:tc>
          <w:tcPr>
            <w:tcW w:w="140" w:type="dxa"/>
            <w:vAlign w:val="bottom"/>
          </w:tcPr>
          <w:p>
            <w:pPr>
              <w:spacing w:after="0"/>
              <w:rPr>
                <w:sz w:val="11"/>
                <w:szCs w:val="11"/>
                <w:color w:val="auto"/>
              </w:rPr>
            </w:pPr>
          </w:p>
        </w:tc>
        <w:tc>
          <w:tcPr>
            <w:tcW w:w="14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HEI Hotels &amp; Resorts</w:t>
            </w:r>
          </w:p>
        </w:tc>
        <w:tc>
          <w:tcPr>
            <w:tcW w:w="0" w:type="dxa"/>
            <w:vAlign w:val="bottom"/>
          </w:tcPr>
          <w:p>
            <w:pPr>
              <w:spacing w:after="0"/>
              <w:rPr>
                <w:sz w:val="1"/>
                <w:szCs w:val="1"/>
                <w:color w:val="auto"/>
              </w:rPr>
            </w:pPr>
          </w:p>
        </w:tc>
      </w:tr>
      <w:tr>
        <w:trPr>
          <w:trHeight w:val="19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Resort</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Dagny Boston</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Boston</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Massachusetts</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Luxury</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403</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0" w:type="dxa"/>
            <w:vAlign w:val="bottom"/>
          </w:tcPr>
          <w:p>
            <w:pPr>
              <w:spacing w:after="0"/>
              <w:rPr>
                <w:sz w:val="1"/>
                <w:szCs w:val="1"/>
                <w:color w:val="auto"/>
              </w:rPr>
            </w:pPr>
          </w:p>
        </w:tc>
      </w:tr>
      <w:tr>
        <w:trPr>
          <w:trHeight w:val="82"/>
        </w:trPr>
        <w:tc>
          <w:tcPr>
            <w:tcW w:w="1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Hythe Vail</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Vail</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Colorado</w:t>
            </w: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Luxury</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344</w:t>
            </w:r>
          </w:p>
        </w:tc>
        <w:tc>
          <w:tcPr>
            <w:tcW w:w="140" w:type="dxa"/>
            <w:vAlign w:val="bottom"/>
          </w:tcPr>
          <w:p>
            <w:pPr>
              <w:spacing w:after="0"/>
              <w:rPr>
                <w:sz w:val="16"/>
                <w:szCs w:val="16"/>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Vail Resorts</w:t>
            </w:r>
          </w:p>
        </w:tc>
        <w:tc>
          <w:tcPr>
            <w:tcW w:w="0" w:type="dxa"/>
            <w:vAlign w:val="bottom"/>
          </w:tcPr>
          <w:p>
            <w:pPr>
              <w:spacing w:after="0"/>
              <w:rPr>
                <w:sz w:val="1"/>
                <w:szCs w:val="1"/>
                <w:color w:val="auto"/>
              </w:rPr>
            </w:pPr>
          </w:p>
        </w:tc>
      </w:tr>
      <w:tr>
        <w:trPr>
          <w:trHeight w:val="82"/>
        </w:trPr>
        <w:tc>
          <w:tcPr>
            <w:tcW w:w="1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16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Courtyard New York</w:t>
            </w:r>
          </w:p>
        </w:tc>
        <w:tc>
          <w:tcPr>
            <w:tcW w:w="11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New York</w:t>
            </w:r>
          </w:p>
        </w:tc>
        <w:tc>
          <w:tcPr>
            <w:tcW w:w="12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New York</w:t>
            </w:r>
          </w:p>
        </w:tc>
        <w:tc>
          <w:tcPr>
            <w:tcW w:w="11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Upscale</w:t>
            </w:r>
          </w:p>
        </w:tc>
        <w:tc>
          <w:tcPr>
            <w:tcW w:w="110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Select Service</w:t>
            </w:r>
          </w:p>
        </w:tc>
        <w:tc>
          <w:tcPr>
            <w:tcW w:w="720" w:type="dxa"/>
            <w:vAlign w:val="bottom"/>
            <w:shd w:val="clear" w:color="auto" w:fill="CCEEFF"/>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321</w:t>
            </w:r>
          </w:p>
        </w:tc>
        <w:tc>
          <w:tcPr>
            <w:tcW w:w="140" w:type="dxa"/>
            <w:vAlign w:val="bottom"/>
            <w:shd w:val="clear" w:color="auto" w:fill="CCEEFF"/>
          </w:tcPr>
          <w:p>
            <w:pPr>
              <w:spacing w:after="0"/>
              <w:rPr>
                <w:sz w:val="11"/>
                <w:szCs w:val="11"/>
                <w:color w:val="auto"/>
              </w:rPr>
            </w:pPr>
          </w:p>
        </w:tc>
        <w:tc>
          <w:tcPr>
            <w:tcW w:w="14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HEI Hotels &amp; Resorts </w:t>
            </w:r>
            <w:r>
              <w:rPr>
                <w:rFonts w:ascii="Times New Roman" w:cs="Times New Roman" w:eastAsia="Times New Roman" w:hAnsi="Times New Roman"/>
                <w:sz w:val="15"/>
                <w:szCs w:val="15"/>
                <w:color w:val="auto"/>
                <w:vertAlign w:val="superscript"/>
              </w:rPr>
              <w:t>(2)</w:t>
            </w:r>
          </w:p>
        </w:tc>
        <w:tc>
          <w:tcPr>
            <w:tcW w:w="0" w:type="dxa"/>
            <w:vAlign w:val="bottom"/>
          </w:tcPr>
          <w:p>
            <w:pPr>
              <w:spacing w:after="0"/>
              <w:rPr>
                <w:sz w:val="1"/>
                <w:szCs w:val="1"/>
                <w:color w:val="auto"/>
              </w:rPr>
            </w:pPr>
          </w:p>
        </w:tc>
      </w:tr>
      <w:tr>
        <w:trPr>
          <w:trHeight w:val="20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Manhattan/Midtown East</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Atlanta Marriott Alpharetta</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Georgia</w:t>
            </w: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318</w:t>
            </w:r>
          </w:p>
        </w:tc>
        <w:tc>
          <w:tcPr>
            <w:tcW w:w="140" w:type="dxa"/>
            <w:vAlign w:val="bottom"/>
          </w:tcPr>
          <w:p>
            <w:pPr>
              <w:spacing w:after="0"/>
              <w:rPr>
                <w:sz w:val="16"/>
                <w:szCs w:val="16"/>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0" w:type="dxa"/>
            <w:vAlign w:val="bottom"/>
          </w:tcPr>
          <w:p>
            <w:pPr>
              <w:spacing w:after="0"/>
              <w:rPr>
                <w:sz w:val="1"/>
                <w:szCs w:val="1"/>
                <w:color w:val="auto"/>
              </w:rPr>
            </w:pPr>
          </w:p>
        </w:tc>
      </w:tr>
      <w:tr>
        <w:trPr>
          <w:trHeight w:val="82"/>
        </w:trPr>
        <w:tc>
          <w:tcPr>
            <w:tcW w:w="1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Gwen Hotel</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Chicago</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Illinois</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Luxury</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311</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HEI Hotels &amp; Resorts</w:t>
            </w:r>
          </w:p>
        </w:tc>
        <w:tc>
          <w:tcPr>
            <w:tcW w:w="0" w:type="dxa"/>
            <w:vAlign w:val="bottom"/>
          </w:tcPr>
          <w:p>
            <w:pPr>
              <w:spacing w:after="0"/>
              <w:rPr>
                <w:sz w:val="1"/>
                <w:szCs w:val="1"/>
                <w:color w:val="auto"/>
              </w:rPr>
            </w:pPr>
          </w:p>
        </w:tc>
      </w:tr>
      <w:tr>
        <w:trPr>
          <w:trHeight w:val="82"/>
        </w:trPr>
        <w:tc>
          <w:tcPr>
            <w:tcW w:w="1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Hilton Garden Inn New</w:t>
            </w:r>
          </w:p>
        </w:tc>
        <w:tc>
          <w:tcPr>
            <w:tcW w:w="11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New York</w:t>
            </w:r>
          </w:p>
        </w:tc>
        <w:tc>
          <w:tcPr>
            <w:tcW w:w="12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New York</w:t>
            </w:r>
          </w:p>
        </w:tc>
        <w:tc>
          <w:tcPr>
            <w:tcW w:w="11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Upscale</w:t>
            </w:r>
          </w:p>
        </w:tc>
        <w:tc>
          <w:tcPr>
            <w:tcW w:w="11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Select Service</w:t>
            </w:r>
          </w:p>
        </w:tc>
        <w:tc>
          <w:tcPr>
            <w:tcW w:w="720" w:type="dxa"/>
            <w:vAlign w:val="bottom"/>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282</w:t>
            </w:r>
          </w:p>
        </w:tc>
        <w:tc>
          <w:tcPr>
            <w:tcW w:w="140" w:type="dxa"/>
            <w:vAlign w:val="bottom"/>
          </w:tcPr>
          <w:p>
            <w:pPr>
              <w:spacing w:after="0"/>
              <w:rPr>
                <w:sz w:val="11"/>
                <w:szCs w:val="11"/>
                <w:color w:val="auto"/>
              </w:rPr>
            </w:pPr>
          </w:p>
        </w:tc>
        <w:tc>
          <w:tcPr>
            <w:tcW w:w="14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Highgate Hotels</w:t>
            </w:r>
          </w:p>
        </w:tc>
        <w:tc>
          <w:tcPr>
            <w:tcW w:w="0" w:type="dxa"/>
            <w:vAlign w:val="bottom"/>
          </w:tcPr>
          <w:p>
            <w:pPr>
              <w:spacing w:after="0"/>
              <w:rPr>
                <w:sz w:val="1"/>
                <w:szCs w:val="1"/>
                <w:color w:val="auto"/>
              </w:rPr>
            </w:pPr>
          </w:p>
        </w:tc>
      </w:tr>
      <w:tr>
        <w:trPr>
          <w:trHeight w:val="19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York/Times Square Central</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16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Embassy Suites by Hilton</w:t>
            </w:r>
          </w:p>
        </w:tc>
        <w:tc>
          <w:tcPr>
            <w:tcW w:w="118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Bethesda</w:t>
            </w:r>
          </w:p>
        </w:tc>
        <w:tc>
          <w:tcPr>
            <w:tcW w:w="12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Maryland</w:t>
            </w:r>
          </w:p>
        </w:tc>
        <w:tc>
          <w:tcPr>
            <w:tcW w:w="11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line="141" w:lineRule="exact"/>
              <w:rPr>
                <w:sz w:val="20"/>
                <w:szCs w:val="20"/>
                <w:color w:val="auto"/>
              </w:rPr>
            </w:pPr>
            <w:r>
              <w:rPr>
                <w:rFonts w:ascii="Times New Roman" w:cs="Times New Roman" w:eastAsia="Times New Roman" w:hAnsi="Times New Roman"/>
                <w:sz w:val="14"/>
                <w:szCs w:val="14"/>
                <w:color w:val="auto"/>
              </w:rPr>
              <w:t>272</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Sage Hospitality</w:t>
            </w:r>
          </w:p>
        </w:tc>
        <w:tc>
          <w:tcPr>
            <w:tcW w:w="0" w:type="dxa"/>
            <w:vAlign w:val="bottom"/>
          </w:tcPr>
          <w:p>
            <w:pPr>
              <w:spacing w:after="0"/>
              <w:rPr>
                <w:sz w:val="1"/>
                <w:szCs w:val="1"/>
                <w:color w:val="auto"/>
              </w:rPr>
            </w:pPr>
          </w:p>
        </w:tc>
      </w:tr>
      <w:tr>
        <w:trPr>
          <w:trHeight w:val="20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Bethesda</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 Champlain Burlington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Burlington</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Vermont</w:t>
            </w: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258</w:t>
            </w:r>
          </w:p>
        </w:tc>
        <w:tc>
          <w:tcPr>
            <w:tcW w:w="140" w:type="dxa"/>
            <w:vAlign w:val="bottom"/>
          </w:tcPr>
          <w:p>
            <w:pPr>
              <w:spacing w:after="0"/>
              <w:rPr>
                <w:sz w:val="16"/>
                <w:szCs w:val="16"/>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0" w:type="dxa"/>
            <w:vAlign w:val="bottom"/>
          </w:tcPr>
          <w:p>
            <w:pPr>
              <w:spacing w:after="0"/>
              <w:rPr>
                <w:sz w:val="1"/>
                <w:szCs w:val="1"/>
                <w:color w:val="auto"/>
              </w:rPr>
            </w:pPr>
          </w:p>
        </w:tc>
      </w:tr>
      <w:tr>
        <w:trPr>
          <w:trHeight w:val="82"/>
        </w:trPr>
        <w:tc>
          <w:tcPr>
            <w:tcW w:w="1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Henderson Beach Resort</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Destin</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Florida</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Luxury</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270</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0" w:type="dxa"/>
            <w:vAlign w:val="bottom"/>
          </w:tcPr>
          <w:p>
            <w:pPr>
              <w:spacing w:after="0"/>
              <w:rPr>
                <w:sz w:val="1"/>
                <w:szCs w:val="1"/>
                <w:color w:val="auto"/>
              </w:rPr>
            </w:pPr>
          </w:p>
        </w:tc>
      </w:tr>
      <w:tr>
        <w:trPr>
          <w:trHeight w:val="82"/>
        </w:trPr>
        <w:tc>
          <w:tcPr>
            <w:tcW w:w="1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AC Hotel Minneapolis</w:t>
            </w:r>
          </w:p>
        </w:tc>
        <w:tc>
          <w:tcPr>
            <w:tcW w:w="11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Minneapolis</w:t>
            </w:r>
          </w:p>
        </w:tc>
        <w:tc>
          <w:tcPr>
            <w:tcW w:w="12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Minnesota</w:t>
            </w:r>
          </w:p>
        </w:tc>
        <w:tc>
          <w:tcPr>
            <w:tcW w:w="11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Upscale</w:t>
            </w:r>
          </w:p>
        </w:tc>
        <w:tc>
          <w:tcPr>
            <w:tcW w:w="11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Select Service</w:t>
            </w:r>
          </w:p>
        </w:tc>
        <w:tc>
          <w:tcPr>
            <w:tcW w:w="720" w:type="dxa"/>
            <w:vAlign w:val="bottom"/>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245</w:t>
            </w:r>
          </w:p>
        </w:tc>
        <w:tc>
          <w:tcPr>
            <w:tcW w:w="140" w:type="dxa"/>
            <w:vAlign w:val="bottom"/>
          </w:tcPr>
          <w:p>
            <w:pPr>
              <w:spacing w:after="0"/>
              <w:rPr>
                <w:sz w:val="11"/>
                <w:szCs w:val="11"/>
                <w:color w:val="auto"/>
              </w:rPr>
            </w:pPr>
          </w:p>
        </w:tc>
        <w:tc>
          <w:tcPr>
            <w:tcW w:w="14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Sage Hospitality</w:t>
            </w:r>
          </w:p>
        </w:tc>
        <w:tc>
          <w:tcPr>
            <w:tcW w:w="0" w:type="dxa"/>
            <w:vAlign w:val="bottom"/>
          </w:tcPr>
          <w:p>
            <w:pPr>
              <w:spacing w:after="0"/>
              <w:rPr>
                <w:sz w:val="1"/>
                <w:szCs w:val="1"/>
                <w:color w:val="auto"/>
              </w:rPr>
            </w:pPr>
          </w:p>
        </w:tc>
      </w:tr>
      <w:tr>
        <w:trPr>
          <w:trHeight w:val="19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Downtown</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Kimpton Hotel Palomar Phoenix</w:t>
            </w:r>
          </w:p>
        </w:tc>
        <w:tc>
          <w:tcPr>
            <w:tcW w:w="1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Phoenix</w:t>
            </w:r>
          </w:p>
        </w:tc>
        <w:tc>
          <w:tcPr>
            <w:tcW w:w="1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Arizona</w:t>
            </w: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242</w:t>
            </w: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IHG Hotels &amp; Resorts</w:t>
            </w:r>
          </w:p>
        </w:tc>
        <w:tc>
          <w:tcPr>
            <w:tcW w:w="0" w:type="dxa"/>
            <w:vAlign w:val="bottom"/>
          </w:tcPr>
          <w:p>
            <w:pPr>
              <w:spacing w:after="0"/>
              <w:rPr>
                <w:sz w:val="1"/>
                <w:szCs w:val="1"/>
                <w:color w:val="auto"/>
              </w:rPr>
            </w:pPr>
          </w:p>
        </w:tc>
      </w:tr>
      <w:tr>
        <w:trPr>
          <w:trHeight w:val="18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Bourbon Orleans Hotel</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Orleans</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Louisiana</w:t>
            </w: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Luxury</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220</w:t>
            </w:r>
          </w:p>
        </w:tc>
        <w:tc>
          <w:tcPr>
            <w:tcW w:w="140" w:type="dxa"/>
            <w:vAlign w:val="bottom"/>
          </w:tcPr>
          <w:p>
            <w:pPr>
              <w:spacing w:after="0"/>
              <w:rPr>
                <w:sz w:val="16"/>
                <w:szCs w:val="16"/>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0" w:type="dxa"/>
            <w:vAlign w:val="bottom"/>
          </w:tcPr>
          <w:p>
            <w:pPr>
              <w:spacing w:after="0"/>
              <w:rPr>
                <w:sz w:val="1"/>
                <w:szCs w:val="1"/>
                <w:color w:val="auto"/>
              </w:rPr>
            </w:pPr>
          </w:p>
        </w:tc>
      </w:tr>
      <w:tr>
        <w:trPr>
          <w:trHeight w:val="82"/>
        </w:trPr>
        <w:tc>
          <w:tcPr>
            <w:tcW w:w="1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 Clio</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Denver</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Colorado</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Luxury</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199</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Sage Hospitality</w:t>
            </w:r>
          </w:p>
        </w:tc>
        <w:tc>
          <w:tcPr>
            <w:tcW w:w="0" w:type="dxa"/>
            <w:vAlign w:val="bottom"/>
          </w:tcPr>
          <w:p>
            <w:pPr>
              <w:spacing w:after="0"/>
              <w:rPr>
                <w:sz w:val="1"/>
                <w:szCs w:val="1"/>
                <w:color w:val="auto"/>
              </w:rPr>
            </w:pPr>
          </w:p>
        </w:tc>
      </w:tr>
      <w:tr>
        <w:trPr>
          <w:trHeight w:val="82"/>
        </w:trPr>
        <w:tc>
          <w:tcPr>
            <w:tcW w:w="1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Courtyard New York</w:t>
            </w:r>
          </w:p>
        </w:tc>
        <w:tc>
          <w:tcPr>
            <w:tcW w:w="11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New York</w:t>
            </w:r>
          </w:p>
        </w:tc>
        <w:tc>
          <w:tcPr>
            <w:tcW w:w="12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New York</w:t>
            </w:r>
          </w:p>
        </w:tc>
        <w:tc>
          <w:tcPr>
            <w:tcW w:w="11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Upscale</w:t>
            </w:r>
          </w:p>
        </w:tc>
        <w:tc>
          <w:tcPr>
            <w:tcW w:w="11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Select Service</w:t>
            </w:r>
          </w:p>
        </w:tc>
        <w:tc>
          <w:tcPr>
            <w:tcW w:w="720" w:type="dxa"/>
            <w:vAlign w:val="bottom"/>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189</w:t>
            </w:r>
          </w:p>
        </w:tc>
        <w:tc>
          <w:tcPr>
            <w:tcW w:w="140" w:type="dxa"/>
            <w:vAlign w:val="bottom"/>
          </w:tcPr>
          <w:p>
            <w:pPr>
              <w:spacing w:after="0"/>
              <w:rPr>
                <w:sz w:val="11"/>
                <w:szCs w:val="11"/>
                <w:color w:val="auto"/>
              </w:rPr>
            </w:pPr>
          </w:p>
        </w:tc>
        <w:tc>
          <w:tcPr>
            <w:tcW w:w="14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Highgate Hotels</w:t>
            </w:r>
          </w:p>
        </w:tc>
        <w:tc>
          <w:tcPr>
            <w:tcW w:w="0" w:type="dxa"/>
            <w:vAlign w:val="bottom"/>
          </w:tcPr>
          <w:p>
            <w:pPr>
              <w:spacing w:after="0"/>
              <w:rPr>
                <w:sz w:val="1"/>
                <w:szCs w:val="1"/>
                <w:color w:val="auto"/>
              </w:rPr>
            </w:pPr>
          </w:p>
        </w:tc>
      </w:tr>
      <w:tr>
        <w:trPr>
          <w:trHeight w:val="19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Manhattan/Fifth Avenue</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16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Margaritaville Beach House Key</w:t>
            </w:r>
          </w:p>
        </w:tc>
        <w:tc>
          <w:tcPr>
            <w:tcW w:w="118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Key West</w:t>
            </w:r>
          </w:p>
        </w:tc>
        <w:tc>
          <w:tcPr>
            <w:tcW w:w="12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Florida</w:t>
            </w:r>
          </w:p>
        </w:tc>
        <w:tc>
          <w:tcPr>
            <w:tcW w:w="11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line="141" w:lineRule="exact"/>
              <w:rPr>
                <w:sz w:val="20"/>
                <w:szCs w:val="20"/>
                <w:color w:val="auto"/>
              </w:rPr>
            </w:pPr>
            <w:r>
              <w:rPr>
                <w:rFonts w:ascii="Times New Roman" w:cs="Times New Roman" w:eastAsia="Times New Roman" w:hAnsi="Times New Roman"/>
                <w:sz w:val="14"/>
                <w:szCs w:val="14"/>
                <w:color w:val="auto"/>
              </w:rPr>
              <w:t>186</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Ocean Properties</w:t>
            </w:r>
          </w:p>
        </w:tc>
        <w:tc>
          <w:tcPr>
            <w:tcW w:w="0" w:type="dxa"/>
            <w:vAlign w:val="bottom"/>
          </w:tcPr>
          <w:p>
            <w:pPr>
              <w:spacing w:after="0"/>
              <w:rPr>
                <w:sz w:val="1"/>
                <w:szCs w:val="1"/>
                <w:color w:val="auto"/>
              </w:rPr>
            </w:pPr>
          </w:p>
        </w:tc>
      </w:tr>
      <w:tr>
        <w:trPr>
          <w:trHeight w:val="20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Lodge at Sonoma Resort</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Sonoma</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California</w:t>
            </w: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182</w:t>
            </w:r>
          </w:p>
        </w:tc>
        <w:tc>
          <w:tcPr>
            <w:tcW w:w="140" w:type="dxa"/>
            <w:vAlign w:val="bottom"/>
          </w:tcPr>
          <w:p>
            <w:pPr>
              <w:spacing w:after="0"/>
              <w:rPr>
                <w:sz w:val="16"/>
                <w:szCs w:val="16"/>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Sage Hospitality</w:t>
            </w:r>
          </w:p>
        </w:tc>
        <w:tc>
          <w:tcPr>
            <w:tcW w:w="0" w:type="dxa"/>
            <w:vAlign w:val="bottom"/>
          </w:tcPr>
          <w:p>
            <w:pPr>
              <w:spacing w:after="0"/>
              <w:rPr>
                <w:sz w:val="1"/>
                <w:szCs w:val="1"/>
                <w:color w:val="auto"/>
              </w:rPr>
            </w:pPr>
          </w:p>
        </w:tc>
      </w:tr>
      <w:tr>
        <w:trPr>
          <w:trHeight w:val="82"/>
        </w:trPr>
        <w:tc>
          <w:tcPr>
            <w:tcW w:w="1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Courtyard Denver Downtown</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Denver</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Colorado</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Upscale</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Select Service</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177</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Sage Hospitality</w:t>
            </w:r>
          </w:p>
        </w:tc>
        <w:tc>
          <w:tcPr>
            <w:tcW w:w="0" w:type="dxa"/>
            <w:vAlign w:val="bottom"/>
          </w:tcPr>
          <w:p>
            <w:pPr>
              <w:spacing w:after="0"/>
              <w:rPr>
                <w:sz w:val="1"/>
                <w:szCs w:val="1"/>
                <w:color w:val="auto"/>
              </w:rPr>
            </w:pPr>
          </w:p>
        </w:tc>
      </w:tr>
      <w:tr>
        <w:trPr>
          <w:trHeight w:val="82"/>
        </w:trPr>
        <w:tc>
          <w:tcPr>
            <w:tcW w:w="1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The Lindy Renaissance</w:t>
            </w:r>
          </w:p>
        </w:tc>
        <w:tc>
          <w:tcPr>
            <w:tcW w:w="11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Charleston</w:t>
            </w:r>
          </w:p>
        </w:tc>
        <w:tc>
          <w:tcPr>
            <w:tcW w:w="12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South Carolina</w:t>
            </w:r>
          </w:p>
        </w:tc>
        <w:tc>
          <w:tcPr>
            <w:tcW w:w="11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spacing w:after="0"/>
              <w:rPr>
                <w:sz w:val="11"/>
                <w:szCs w:val="11"/>
                <w:color w:val="auto"/>
              </w:rPr>
            </w:pPr>
          </w:p>
        </w:tc>
        <w:tc>
          <w:tcPr>
            <w:tcW w:w="14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Aimbridge Hospitality</w:t>
            </w:r>
          </w:p>
        </w:tc>
        <w:tc>
          <w:tcPr>
            <w:tcW w:w="0" w:type="dxa"/>
            <w:vAlign w:val="bottom"/>
          </w:tcPr>
          <w:p>
            <w:pPr>
              <w:spacing w:after="0"/>
              <w:rPr>
                <w:sz w:val="1"/>
                <w:szCs w:val="1"/>
                <w:color w:val="auto"/>
              </w:rPr>
            </w:pPr>
          </w:p>
        </w:tc>
      </w:tr>
      <w:tr>
        <w:trPr>
          <w:trHeight w:val="19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Charleston Hotel</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L'Auberge de Sedona</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Sedona</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Arizona</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Luxury</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158</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Kimpton Shorebreak Huntington</w:t>
            </w:r>
          </w:p>
        </w:tc>
        <w:tc>
          <w:tcPr>
            <w:tcW w:w="11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Huntington</w:t>
            </w:r>
          </w:p>
        </w:tc>
        <w:tc>
          <w:tcPr>
            <w:tcW w:w="12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California</w:t>
            </w:r>
          </w:p>
        </w:tc>
        <w:tc>
          <w:tcPr>
            <w:tcW w:w="11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157</w:t>
            </w:r>
          </w:p>
        </w:tc>
        <w:tc>
          <w:tcPr>
            <w:tcW w:w="140" w:type="dxa"/>
            <w:vAlign w:val="bottom"/>
          </w:tcPr>
          <w:p>
            <w:pPr>
              <w:spacing w:after="0"/>
              <w:rPr>
                <w:sz w:val="11"/>
                <w:szCs w:val="11"/>
                <w:color w:val="auto"/>
              </w:rPr>
            </w:pPr>
          </w:p>
        </w:tc>
        <w:tc>
          <w:tcPr>
            <w:tcW w:w="14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IHG Hotels &amp; Resorts</w:t>
            </w:r>
          </w:p>
        </w:tc>
        <w:tc>
          <w:tcPr>
            <w:tcW w:w="0" w:type="dxa"/>
            <w:vAlign w:val="bottom"/>
          </w:tcPr>
          <w:p>
            <w:pPr>
              <w:spacing w:after="0"/>
              <w:rPr>
                <w:sz w:val="1"/>
                <w:szCs w:val="1"/>
                <w:color w:val="auto"/>
              </w:rPr>
            </w:pPr>
          </w:p>
        </w:tc>
      </w:tr>
      <w:tr>
        <w:trPr>
          <w:trHeight w:val="18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Beach Resort</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Beach</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16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Cavallo Point, The Lodge at the</w:t>
            </w:r>
          </w:p>
        </w:tc>
        <w:tc>
          <w:tcPr>
            <w:tcW w:w="11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Sausalito</w:t>
            </w:r>
          </w:p>
        </w:tc>
        <w:tc>
          <w:tcPr>
            <w:tcW w:w="12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California</w:t>
            </w:r>
          </w:p>
        </w:tc>
        <w:tc>
          <w:tcPr>
            <w:tcW w:w="11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Luxury</w:t>
            </w:r>
          </w:p>
        </w:tc>
        <w:tc>
          <w:tcPr>
            <w:tcW w:w="110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142</w:t>
            </w:r>
          </w:p>
        </w:tc>
        <w:tc>
          <w:tcPr>
            <w:tcW w:w="140" w:type="dxa"/>
            <w:vAlign w:val="bottom"/>
            <w:shd w:val="clear" w:color="auto" w:fill="CCEEFF"/>
          </w:tcPr>
          <w:p>
            <w:pPr>
              <w:spacing w:after="0"/>
              <w:rPr>
                <w:sz w:val="11"/>
                <w:szCs w:val="11"/>
                <w:color w:val="auto"/>
              </w:rPr>
            </w:pPr>
          </w:p>
        </w:tc>
        <w:tc>
          <w:tcPr>
            <w:tcW w:w="14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Passport Resorts</w:t>
            </w:r>
          </w:p>
        </w:tc>
        <w:tc>
          <w:tcPr>
            <w:tcW w:w="0" w:type="dxa"/>
            <w:vAlign w:val="bottom"/>
          </w:tcPr>
          <w:p>
            <w:pPr>
              <w:spacing w:after="0"/>
              <w:rPr>
                <w:sz w:val="1"/>
                <w:szCs w:val="1"/>
                <w:color w:val="auto"/>
              </w:rPr>
            </w:pPr>
          </w:p>
        </w:tc>
      </w:tr>
      <w:tr>
        <w:trPr>
          <w:trHeight w:val="20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Golden Gate</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Chico Hot Springs Resort &amp; Day</w:t>
            </w:r>
          </w:p>
        </w:tc>
        <w:tc>
          <w:tcPr>
            <w:tcW w:w="11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Pray</w:t>
            </w:r>
          </w:p>
        </w:tc>
        <w:tc>
          <w:tcPr>
            <w:tcW w:w="12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Montana</w:t>
            </w:r>
          </w:p>
        </w:tc>
        <w:tc>
          <w:tcPr>
            <w:tcW w:w="11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117</w:t>
            </w:r>
          </w:p>
        </w:tc>
        <w:tc>
          <w:tcPr>
            <w:tcW w:w="140" w:type="dxa"/>
            <w:vAlign w:val="bottom"/>
          </w:tcPr>
          <w:p>
            <w:pPr>
              <w:spacing w:after="0"/>
              <w:rPr>
                <w:sz w:val="11"/>
                <w:szCs w:val="11"/>
                <w:color w:val="auto"/>
              </w:rPr>
            </w:pPr>
          </w:p>
        </w:tc>
        <w:tc>
          <w:tcPr>
            <w:tcW w:w="14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EOS Hospitality</w:t>
            </w:r>
          </w:p>
        </w:tc>
        <w:tc>
          <w:tcPr>
            <w:tcW w:w="0" w:type="dxa"/>
            <w:vAlign w:val="bottom"/>
          </w:tcPr>
          <w:p>
            <w:pPr>
              <w:spacing w:after="0"/>
              <w:rPr>
                <w:sz w:val="1"/>
                <w:szCs w:val="1"/>
                <w:color w:val="auto"/>
              </w:rPr>
            </w:pPr>
          </w:p>
        </w:tc>
      </w:tr>
      <w:tr>
        <w:trPr>
          <w:trHeight w:val="18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Spa</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1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Havana Cabana Key West</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Key West</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Florida</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EOS Hospitality</w:t>
            </w:r>
          </w:p>
        </w:tc>
        <w:tc>
          <w:tcPr>
            <w:tcW w:w="0" w:type="dxa"/>
            <w:vAlign w:val="bottom"/>
          </w:tcPr>
          <w:p>
            <w:pPr>
              <w:spacing w:after="0"/>
              <w:rPr>
                <w:sz w:val="1"/>
                <w:szCs w:val="1"/>
                <w:color w:val="auto"/>
              </w:rPr>
            </w:pPr>
          </w:p>
        </w:tc>
      </w:tr>
      <w:tr>
        <w:trPr>
          <w:trHeight w:val="82"/>
        </w:trPr>
        <w:tc>
          <w:tcPr>
            <w:tcW w:w="1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Tranquility Bay Beachfront</w:t>
            </w:r>
          </w:p>
        </w:tc>
        <w:tc>
          <w:tcPr>
            <w:tcW w:w="11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Marathon</w:t>
            </w:r>
          </w:p>
        </w:tc>
        <w:tc>
          <w:tcPr>
            <w:tcW w:w="12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Florida</w:t>
            </w:r>
          </w:p>
        </w:tc>
        <w:tc>
          <w:tcPr>
            <w:tcW w:w="11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Luxury</w:t>
            </w:r>
          </w:p>
        </w:tc>
        <w:tc>
          <w:tcPr>
            <w:tcW w:w="11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11"/>
                <w:szCs w:val="11"/>
                <w:color w:val="auto"/>
              </w:rPr>
            </w:pPr>
          </w:p>
        </w:tc>
        <w:tc>
          <w:tcPr>
            <w:tcW w:w="14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EOS Hospitality</w:t>
            </w:r>
          </w:p>
        </w:tc>
        <w:tc>
          <w:tcPr>
            <w:tcW w:w="0" w:type="dxa"/>
            <w:vAlign w:val="bottom"/>
          </w:tcPr>
          <w:p>
            <w:pPr>
              <w:spacing w:after="0"/>
              <w:rPr>
                <w:sz w:val="1"/>
                <w:szCs w:val="1"/>
                <w:color w:val="auto"/>
              </w:rPr>
            </w:pPr>
          </w:p>
        </w:tc>
      </w:tr>
      <w:tr>
        <w:trPr>
          <w:trHeight w:val="19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Resort</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 Emblem San Francisco</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 Francisco</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California</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96</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Pacifica Hotels</w:t>
            </w:r>
          </w:p>
        </w:tc>
        <w:tc>
          <w:tcPr>
            <w:tcW w:w="0" w:type="dxa"/>
            <w:vAlign w:val="bottom"/>
          </w:tcPr>
          <w:p>
            <w:pPr>
              <w:spacing w:after="0"/>
              <w:rPr>
                <w:sz w:val="1"/>
                <w:szCs w:val="1"/>
                <w:color w:val="auto"/>
              </w:rPr>
            </w:pPr>
          </w:p>
        </w:tc>
      </w:tr>
      <w:tr>
        <w:trPr>
          <w:trHeight w:val="82"/>
        </w:trPr>
        <w:tc>
          <w:tcPr>
            <w:tcW w:w="1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Kimpton Shorebreak Fort</w:t>
            </w:r>
          </w:p>
        </w:tc>
        <w:tc>
          <w:tcPr>
            <w:tcW w:w="11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Fort Lauderdale</w:t>
            </w:r>
          </w:p>
        </w:tc>
        <w:tc>
          <w:tcPr>
            <w:tcW w:w="12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Florida</w:t>
            </w:r>
          </w:p>
        </w:tc>
        <w:tc>
          <w:tcPr>
            <w:tcW w:w="11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Upper Upscale</w:t>
            </w:r>
          </w:p>
        </w:tc>
        <w:tc>
          <w:tcPr>
            <w:tcW w:w="11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line="133" w:lineRule="exact"/>
              <w:rPr>
                <w:sz w:val="20"/>
                <w:szCs w:val="20"/>
                <w:color w:val="auto"/>
              </w:rPr>
            </w:pPr>
            <w:r>
              <w:rPr>
                <w:rFonts w:ascii="Times New Roman" w:cs="Times New Roman" w:eastAsia="Times New Roman" w:hAnsi="Times New Roman"/>
                <w:sz w:val="14"/>
                <w:szCs w:val="14"/>
                <w:color w:val="auto"/>
              </w:rPr>
              <w:t>96</w:t>
            </w:r>
          </w:p>
        </w:tc>
        <w:tc>
          <w:tcPr>
            <w:tcW w:w="140" w:type="dxa"/>
            <w:vAlign w:val="bottom"/>
          </w:tcPr>
          <w:p>
            <w:pPr>
              <w:spacing w:after="0"/>
              <w:rPr>
                <w:sz w:val="11"/>
                <w:szCs w:val="11"/>
                <w:color w:val="auto"/>
              </w:rPr>
            </w:pPr>
          </w:p>
        </w:tc>
        <w:tc>
          <w:tcPr>
            <w:tcW w:w="14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HEI Hotels &amp; Resorts</w:t>
            </w:r>
          </w:p>
        </w:tc>
        <w:tc>
          <w:tcPr>
            <w:tcW w:w="0" w:type="dxa"/>
            <w:vAlign w:val="bottom"/>
          </w:tcPr>
          <w:p>
            <w:pPr>
              <w:spacing w:after="0"/>
              <w:rPr>
                <w:sz w:val="1"/>
                <w:szCs w:val="1"/>
                <w:color w:val="auto"/>
              </w:rPr>
            </w:pPr>
          </w:p>
        </w:tc>
      </w:tr>
      <w:tr>
        <w:trPr>
          <w:trHeight w:val="19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Lauderdale Beach Resort</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16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The Landing Lake Tahoe Resort</w:t>
            </w:r>
          </w:p>
        </w:tc>
        <w:tc>
          <w:tcPr>
            <w:tcW w:w="118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South Lake</w:t>
            </w:r>
          </w:p>
        </w:tc>
        <w:tc>
          <w:tcPr>
            <w:tcW w:w="12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California</w:t>
            </w:r>
          </w:p>
        </w:tc>
        <w:tc>
          <w:tcPr>
            <w:tcW w:w="11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Luxury</w:t>
            </w:r>
          </w:p>
        </w:tc>
        <w:tc>
          <w:tcPr>
            <w:tcW w:w="110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line="141" w:lineRule="exact"/>
              <w:rPr>
                <w:sz w:val="20"/>
                <w:szCs w:val="20"/>
                <w:color w:val="auto"/>
              </w:rPr>
            </w:pPr>
            <w:r>
              <w:rPr>
                <w:rFonts w:ascii="Times New Roman" w:cs="Times New Roman" w:eastAsia="Times New Roman" w:hAnsi="Times New Roman"/>
                <w:sz w:val="14"/>
                <w:szCs w:val="14"/>
                <w:color w:val="auto"/>
              </w:rPr>
              <w:t>82</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Aimbridge Hospitality</w:t>
            </w:r>
          </w:p>
        </w:tc>
        <w:tc>
          <w:tcPr>
            <w:tcW w:w="0" w:type="dxa"/>
            <w:vAlign w:val="bottom"/>
          </w:tcPr>
          <w:p>
            <w:pPr>
              <w:spacing w:after="0"/>
              <w:rPr>
                <w:sz w:val="1"/>
                <w:szCs w:val="1"/>
                <w:color w:val="auto"/>
              </w:rPr>
            </w:pPr>
          </w:p>
        </w:tc>
      </w:tr>
      <w:tr>
        <w:trPr>
          <w:trHeight w:val="20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&amp; Spa</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Tahoe</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Lake Austin Spa Resort</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Austin</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Texas</w:t>
            </w: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Luxury</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6"/>
                <w:szCs w:val="16"/>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EOS Hospitality</w:t>
            </w:r>
          </w:p>
        </w:tc>
        <w:tc>
          <w:tcPr>
            <w:tcW w:w="0" w:type="dxa"/>
            <w:vAlign w:val="bottom"/>
          </w:tcPr>
          <w:p>
            <w:pPr>
              <w:spacing w:after="0"/>
              <w:rPr>
                <w:sz w:val="1"/>
                <w:szCs w:val="1"/>
                <w:color w:val="auto"/>
              </w:rPr>
            </w:pPr>
          </w:p>
        </w:tc>
      </w:tr>
      <w:tr>
        <w:trPr>
          <w:trHeight w:val="82"/>
        </w:trPr>
        <w:tc>
          <w:tcPr>
            <w:tcW w:w="1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Henderson Park Inn</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Destin</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Florida</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Luxury</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 Service</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0" w:type="dxa"/>
            <w:vAlign w:val="bottom"/>
          </w:tcPr>
          <w:p>
            <w:pPr>
              <w:spacing w:after="0"/>
              <w:rPr>
                <w:sz w:val="1"/>
                <w:szCs w:val="1"/>
                <w:color w:val="auto"/>
              </w:rPr>
            </w:pPr>
          </w:p>
        </w:tc>
      </w:tr>
      <w:tr>
        <w:trPr>
          <w:trHeight w:val="82"/>
        </w:trPr>
        <w:tc>
          <w:tcPr>
            <w:tcW w:w="1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9,595</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1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ectPr>
          <w:pgSz w:w="11900" w:h="16838" w:orient="portrait"/>
          <w:cols w:equalWidth="0" w:num="1">
            <w:col w:w="10180"/>
          </w:cols>
          <w:pgMar w:left="320" w:top="359" w:right="139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80"/>
          </w:cols>
          <w:pgMar w:left="320" w:top="359" w:right="13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ind w:left="640" w:hanging="314"/>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by STR, Inc.</w:t>
      </w:r>
    </w:p>
    <w:p>
      <w:pPr>
        <w:spacing w:after="0" w:line="65"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February 3, 2026, we terminated the management agreement with HEI Hotels &amp; Resorts and entered into a management agreement with Highgate Hotels.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Hotel Management Agreements</w:t>
      </w:r>
    </w:p>
    <w:p>
      <w:pPr>
        <w:spacing w:after="0" w:line="248"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We are party to hotel management agreements for each hotel we own. The following table sets forth the expiration date of the current term, the terms of termination of the manager by the Company, and the number of remaining renewal terms at the manager's option under the respective hotel management agreements for each of our hotels as of December 31, 2025. Generally, the term of the hotel management agreements, if applicable, renew automatically for a negotiated number of consecutive periods upon the expiration of the initial term unless the manager gives notice to us of its election not to renew the hotel management agreement.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Remaining</w:t>
            </w:r>
          </w:p>
        </w:tc>
        <w:tc>
          <w:tcPr>
            <w:tcW w:w="0" w:type="dxa"/>
            <w:vAlign w:val="bottom"/>
          </w:tcPr>
          <w:p>
            <w:pPr>
              <w:spacing w:after="0"/>
              <w:rPr>
                <w:sz w:val="1"/>
                <w:szCs w:val="1"/>
                <w:color w:val="auto"/>
              </w:rPr>
            </w:pPr>
          </w:p>
        </w:tc>
      </w:tr>
      <w:tr>
        <w:trPr>
          <w:trHeight w:val="145"/>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Manager</w:t>
            </w: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Terminable</w:t>
            </w:r>
          </w:p>
        </w:tc>
        <w:tc>
          <w:tcPr>
            <w:tcW w:w="10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9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Renewal Terms at Manager's</w:t>
            </w:r>
          </w:p>
        </w:tc>
        <w:tc>
          <w:tcPr>
            <w:tcW w:w="0" w:type="dxa"/>
            <w:vAlign w:val="bottom"/>
          </w:tcPr>
          <w:p>
            <w:pPr>
              <w:spacing w:after="0"/>
              <w:rPr>
                <w:sz w:val="1"/>
                <w:szCs w:val="1"/>
                <w:color w:val="auto"/>
              </w:rPr>
            </w:pPr>
          </w:p>
        </w:tc>
      </w:tr>
      <w:tr>
        <w:trPr>
          <w:trHeight w:val="200"/>
        </w:trPr>
        <w:tc>
          <w:tcPr>
            <w:tcW w:w="3880" w:type="dxa"/>
            <w:vAlign w:val="bottom"/>
            <w:gridSpan w:val="2"/>
            <w:vMerge w:val="continue"/>
          </w:tcPr>
          <w:p>
            <w:pPr>
              <w:spacing w:after="0"/>
              <w:rPr>
                <w:sz w:val="17"/>
                <w:szCs w:val="17"/>
                <w:color w:val="auto"/>
              </w:rPr>
            </w:pPr>
          </w:p>
        </w:tc>
        <w:tc>
          <w:tcPr>
            <w:tcW w:w="2260" w:type="dxa"/>
            <w:vAlign w:val="bottom"/>
            <w:gridSpan w:val="2"/>
            <w:vMerge w:val="continue"/>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 Term</w:t>
            </w:r>
          </w:p>
        </w:tc>
        <w:tc>
          <w:tcPr>
            <w:tcW w:w="1940" w:type="dxa"/>
            <w:vAlign w:val="bottom"/>
          </w:tcPr>
          <w:p>
            <w:pPr>
              <w:ind w:left="20"/>
              <w:spacing w:after="0" w:line="200" w:lineRule="exact"/>
              <w:rPr>
                <w:sz w:val="20"/>
                <w:szCs w:val="20"/>
                <w:color w:val="auto"/>
              </w:rPr>
            </w:pPr>
            <w:r>
              <w:rPr>
                <w:rFonts w:ascii="Times New Roman" w:cs="Times New Roman" w:eastAsia="Times New Roman" w:hAnsi="Times New Roman"/>
                <w:sz w:val="14"/>
                <w:szCs w:val="14"/>
                <w:b w:val="1"/>
                <w:bCs w:val="1"/>
                <w:color w:val="auto"/>
              </w:rPr>
              <w:t xml:space="preserve">Exclusive Option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3"/>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 Hotel Minneapolis Downtown</w:t>
            </w:r>
          </w:p>
        </w:tc>
        <w:tc>
          <w:tcPr>
            <w:tcW w:w="10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Sage Hospitality</w:t>
            </w:r>
          </w:p>
        </w:tc>
        <w:tc>
          <w:tcPr>
            <w:tcW w:w="10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11/2029</w:t>
            </w:r>
          </w:p>
        </w:tc>
        <w:tc>
          <w:tcPr>
            <w:tcW w:w="12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Five one-year periods</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Atlanta Marriott Alpharetta</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9/2030</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Bourbon Orleans Hotel</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7/2026</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Cavallo Point, The Lodge at the Golden Gate</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Passport Resorts</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6/2028</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Chicago Marriott Downtown Magnificent Mile</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Marriott</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12/2038</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Two ten-year periods</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Chico Hot Springs Resort &amp; Day Spa</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EOS Hospitality</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8/2033</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Courtyard Denver Downtown</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Sage Hospitality</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7/2026</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One five-year period</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Courtyard New York Manhattan/Fifth Avenue</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Highgate Hotels</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9/2030 </w:t>
            </w:r>
            <w:r>
              <w:rPr>
                <w:rFonts w:ascii="Times New Roman" w:cs="Times New Roman" w:eastAsia="Times New Roman" w:hAnsi="Times New Roman"/>
                <w:sz w:val="9"/>
                <w:szCs w:val="9"/>
                <w:color w:val="auto"/>
              </w:rPr>
              <w:t>(2)</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Month-to-month </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Courtyard New York Manhattan/Midtown East</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HEI Hotels &amp; Resorts </w:t>
            </w:r>
            <w:r>
              <w:rPr>
                <w:rFonts w:ascii="Times New Roman" w:cs="Times New Roman" w:eastAsia="Times New Roman" w:hAnsi="Times New Roman"/>
                <w:sz w:val="9"/>
                <w:szCs w:val="9"/>
                <w:color w:val="auto"/>
              </w:rPr>
              <w:t>(3)</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8/2027</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Embassy Suites by Hilton Bethesda</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Sage Hospitality</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2/2027</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One five-year period</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Gwen Hotel</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HEI Hotels &amp; Resorts</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6/2026</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Havana Cabana Key West</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EOS Hospitality</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5/2032</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Henderson Beach Resort</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2/2032</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Henderson Park Inn</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7/2026</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Dagny Boston</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9/2030</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 Champlain Burlington</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9/2029</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Hilton Garden Inn New York/Times Square Central</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Highgate Hotels</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9/2030 </w:t>
            </w:r>
            <w:r>
              <w:rPr>
                <w:rFonts w:ascii="Times New Roman" w:cs="Times New Roman" w:eastAsia="Times New Roman" w:hAnsi="Times New Roman"/>
                <w:sz w:val="9"/>
                <w:szCs w:val="9"/>
                <w:color w:val="auto"/>
              </w:rPr>
              <w:t>(2)</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One five-year period </w:t>
            </w:r>
            <w:r>
              <w:rPr>
                <w:rFonts w:ascii="Times New Roman" w:cs="Times New Roman" w:eastAsia="Times New Roman" w:hAnsi="Times New Roman"/>
                <w:sz w:val="9"/>
                <w:szCs w:val="9"/>
                <w:color w:val="auto"/>
              </w:rPr>
              <w:t>(2) (4)</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 Clio</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Sage Hospitality</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5/2026</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One five-year period</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 Emblem San Francisco</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Pacifica Hotels</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3/2028</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Two five-year periods</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Hythe Vail</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Vail Resorts</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6/2027</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Kimpton Hotel Palomar Phoenix</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IHG Hotels &amp; Resorts</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12/2028</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One five-year period </w:t>
            </w:r>
            <w:r>
              <w:rPr>
                <w:rFonts w:ascii="Times New Roman" w:cs="Times New Roman" w:eastAsia="Times New Roman" w:hAnsi="Times New Roman"/>
                <w:sz w:val="9"/>
                <w:szCs w:val="9"/>
                <w:color w:val="auto"/>
              </w:rPr>
              <w:t>(5)</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Kimpton Shorebreak Fort Lauderdale Beach Resort</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HEI Hotels &amp; Resorts</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3/2027</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Kimpton Shorebreak Huntington Beach Resort</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IHG Hotels &amp; Resorts</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1/2031</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Lake Austin Spa Resort</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EOS Hospitality</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11/2032</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Landing Lake Tahoe Resort &amp; Spa</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10/2029</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L'Auberge de Sedona</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10/2029</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Lodge at Sonoma Resort</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Sage Hospitality</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Margaritaville Beach House Key West</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Ocean Properties</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7/2027</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Lindy Renaissance Charleston Hotel</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9/2030</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Salt Lake City Marriott Downtown at City Creek</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HEI Hotels &amp; Resorts</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Tranquility Bay Beachfront Resort</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EOS Hospitality</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5/2032</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Westin Boston Seaport District</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12/2026</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Westin Fort Lauderdale Beach Resort</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HEI Hotels &amp; Resorts</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12/2027</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19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Westin San Diego Bayview</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Aimbridge Hospitality</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will with no fee</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Month-to-month</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Worthington Renaissance Fort Worth Hotel</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Marriott</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12/2030</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Two ten-year periods </w:t>
            </w:r>
            <w:r>
              <w:rPr>
                <w:rFonts w:ascii="Times New Roman" w:cs="Times New Roman" w:eastAsia="Times New Roman" w:hAnsi="Times New Roman"/>
                <w:sz w:val="9"/>
                <w:szCs w:val="9"/>
                <w:color w:val="auto"/>
              </w:rPr>
              <w:t>(6)</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47" w:lineRule="exact"/>
        <w:rPr>
          <w:sz w:val="20"/>
          <w:szCs w:val="20"/>
          <w:color w:val="auto"/>
        </w:rPr>
      </w:pPr>
    </w:p>
    <w:p>
      <w:pPr>
        <w:ind w:left="640" w:hanging="314"/>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agreements allow for other extension rights that may be only at our option.</w:t>
      </w:r>
    </w:p>
    <w:p>
      <w:pPr>
        <w:spacing w:after="0" w:line="65" w:lineRule="exact"/>
        <w:rPr>
          <w:rFonts w:ascii="Times New Roman" w:cs="Times New Roman" w:eastAsia="Times New Roman" w:hAnsi="Times New Roman"/>
          <w:sz w:val="14"/>
          <w:szCs w:val="14"/>
          <w:color w:val="auto"/>
        </w:rPr>
      </w:pPr>
    </w:p>
    <w:p>
      <w:pPr>
        <w:ind w:left="640" w:right="380" w:hanging="314"/>
        <w:spacing w:after="0" w:line="293" w:lineRule="auto"/>
        <w:tabs>
          <w:tab w:leader="none" w:pos="6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February 3, 2026, we entered into a new management agreement with Highgate Hotels, which expires February 2036 with one five-year renewal option. The management agreement is terminable at will with no fee.</w:t>
      </w:r>
    </w:p>
    <w:p>
      <w:pPr>
        <w:spacing w:after="0" w:line="6" w:lineRule="exact"/>
        <w:rPr>
          <w:rFonts w:ascii="Times New Roman" w:cs="Times New Roman" w:eastAsia="Times New Roman" w:hAnsi="Times New Roman"/>
          <w:sz w:val="14"/>
          <w:szCs w:val="14"/>
          <w:color w:val="auto"/>
        </w:rPr>
      </w:pPr>
    </w:p>
    <w:p>
      <w:pPr>
        <w:ind w:left="640" w:right="480" w:hanging="314"/>
        <w:spacing w:after="0" w:line="273" w:lineRule="auto"/>
        <w:tabs>
          <w:tab w:leader="none" w:pos="6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February 3, 2026, we terminated the management agreement with HEI Hotels &amp; Resorts and entered into a management agreement with Highgate Hotels, which expires February 2036 with one five-year renewal option. The management agreement is terminable at will with no fee.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ind w:left="640" w:right="120" w:hanging="314"/>
        <w:spacing w:after="0" w:line="293" w:lineRule="auto"/>
        <w:tabs>
          <w:tab w:leader="none" w:pos="6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Hotel manager is entitled to one five-year extension option upon achievement of a certain level of net operating income, which is significantly above current net operating income at the hotel.</w:t>
      </w:r>
    </w:p>
    <w:p>
      <w:pPr>
        <w:spacing w:after="0" w:line="6" w:lineRule="exact"/>
        <w:rPr>
          <w:rFonts w:ascii="Times New Roman" w:cs="Times New Roman" w:eastAsia="Times New Roman" w:hAnsi="Times New Roman"/>
          <w:sz w:val="14"/>
          <w:szCs w:val="14"/>
          <w:color w:val="auto"/>
        </w:rPr>
      </w:pPr>
    </w:p>
    <w:p>
      <w:pPr>
        <w:ind w:left="640" w:right="40" w:hanging="314"/>
        <w:spacing w:after="0" w:line="273" w:lineRule="auto"/>
        <w:tabs>
          <w:tab w:leader="none" w:pos="6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Hotel manager is entitled to one five-year extension option if the manager earns an incentive management fee in both 2027 and 2028. The manager did not earn an incentive management fee in 2025.</w:t>
      </w:r>
    </w:p>
    <w:p>
      <w:pPr>
        <w:spacing w:after="0" w:line="20" w:lineRule="exact"/>
        <w:rPr>
          <w:rFonts w:ascii="Times New Roman" w:cs="Times New Roman" w:eastAsia="Times New Roman" w:hAnsi="Times New Roman"/>
          <w:sz w:val="14"/>
          <w:szCs w:val="14"/>
          <w:color w:val="auto"/>
        </w:rPr>
      </w:pPr>
    </w:p>
    <w:p>
      <w:pPr>
        <w:ind w:left="640" w:right="120" w:hanging="314"/>
        <w:spacing w:after="0" w:line="293" w:lineRule="auto"/>
        <w:tabs>
          <w:tab w:leader="none" w:pos="6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Hotel manager is entitled to one ten-year extension option if the manager achieves a certain level of operating profit for the three-year period ending December 31, 2029. Hotel manager is entitled to a second ten-year extension option if the manager achieves a certain level of operating profit for the three-year period ending December 31, 2039.</w:t>
      </w:r>
    </w:p>
    <w:p>
      <w:pPr>
        <w:spacing w:after="0" w:line="251"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Under our hotel management agreements, the hotel manager receives a base management fee and, if certain financial thresholds are met or exceeded, an incentive management fee. The base management fee is generally payable as a percentage of gross hotel revenues for each fiscal year. The incentive management fee is generally based on hotel operating profits, but the fee only applies to that portion of hotel operating profits above a negotiated return on our invested capital, which we refer to as the owner's priority. We refer to this excess of operating profits over the owner's priority as “available cash flow.”</w:t>
      </w:r>
    </w:p>
    <w:p>
      <w:pPr>
        <w:spacing w:after="0" w:line="206"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following table sets forth the base management fee and incentive management fee generally due and payable each fiscal year, for each of our hotels as of December 31, 2025:</w:t>
      </w:r>
    </w:p>
    <w:p>
      <w:pPr>
        <w:sectPr>
          <w:pgSz w:w="11900" w:h="16838" w:orient="portrait"/>
          <w:cols w:equalWidth="0" w:num="1">
            <w:col w:w="11240"/>
          </w:cols>
          <w:pgMar w:left="320" w:top="359" w:right="339" w:bottom="1440" w:gutter="0" w:footer="0" w:header="0"/>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Base Management Fee</w:t>
            </w:r>
          </w:p>
        </w:tc>
        <w:tc>
          <w:tcPr>
            <w:tcW w:w="0" w:type="dxa"/>
            <w:vAlign w:val="bottom"/>
          </w:tcPr>
          <w:p>
            <w:pPr>
              <w:spacing w:after="0"/>
              <w:rPr>
                <w:sz w:val="1"/>
                <w:szCs w:val="1"/>
                <w:color w:val="auto"/>
              </w:rPr>
            </w:pPr>
          </w:p>
        </w:tc>
      </w:tr>
      <w:tr>
        <w:trPr>
          <w:trHeight w:val="135"/>
        </w:trPr>
        <w:tc>
          <w:tcPr>
            <w:tcW w:w="7060" w:type="dxa"/>
            <w:vAlign w:val="bottom"/>
            <w:gridSpan w:val="2"/>
            <w:vMerge w:val="continue"/>
          </w:tcPr>
          <w:p>
            <w:pPr>
              <w:spacing w:after="0"/>
              <w:rPr>
                <w:sz w:val="11"/>
                <w:szCs w:val="11"/>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5"/>
        </w:trPr>
        <w:tc>
          <w:tcPr>
            <w:tcW w:w="6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 Hotel Minneapolis Downtown</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1"/>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Atlanta Marriott Alpharetta</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Bourbon Orleans Hotel</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Cavallo Point, The Lodge at the Golden Gate</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Chicago Marriott Downtown Magnificent Mile</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Chico Hot Springs Resort &amp; Day Spa</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Courtyard Denver Downtown</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Courtyard New York Manhattan/Fifth Avenue</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Courtyard New York Manhattan/Midtown East </w:t>
            </w:r>
            <w:r>
              <w:rPr>
                <w:rFonts w:ascii="Times New Roman" w:cs="Times New Roman" w:eastAsia="Times New Roman" w:hAnsi="Times New Roman"/>
                <w:sz w:val="9"/>
                <w:szCs w:val="9"/>
                <w:color w:val="auto"/>
              </w:rPr>
              <w:t>(11)</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Embassy Suites by Hilton Bethesda</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Gwen</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Havana Cabana Key West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Henderson Beach Resort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Henderson Park Inn</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Dagny Boston</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 Champlain Burlington</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Hilton Garden Inn New York/Times Square Central</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 Clio</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 Emblem San Francisco</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Hythe Vail</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Kimpton Hotel Palomar Phoenix</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Kimpton Shorebreak Fort Lauderdale Beach Resort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Kimpton Shorebreak Huntington Beach Resort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Lake Austin Spa Resort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Landing Lake Tahoe Resort &amp; Spa</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L'Auberge de Sedona</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Lodge at Sonoma Resort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Margaritaville Beach House Key West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Lindy Renaissance Charleston Hotel</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Salt Lake City Marriott Downtown at City Creek</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Tranquility Bay Beachfront Resort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Westin Boston Seaport District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Westin Fort Lauderdale Beach Resort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Westin San Diego Bayview</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Worthington Renaissance Fort Worth Hotel</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-4172585</wp:posOffset>
            </wp:positionV>
            <wp:extent cx="7134225" cy="127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-3918585</wp:posOffset>
            </wp:positionV>
            <wp:extent cx="7134225" cy="127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-3665220</wp:posOffset>
            </wp:positionV>
            <wp:extent cx="7134225" cy="127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-3411220</wp:posOffset>
            </wp:positionV>
            <wp:extent cx="7134225" cy="127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-3157220</wp:posOffset>
            </wp:positionV>
            <wp:extent cx="7134225" cy="127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-2903220</wp:posOffset>
            </wp:positionV>
            <wp:extent cx="7134225" cy="127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-2649220</wp:posOffset>
            </wp:positionV>
            <wp:extent cx="7134225" cy="127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-2395855</wp:posOffset>
            </wp:positionV>
            <wp:extent cx="7134225" cy="127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-2141855</wp:posOffset>
            </wp:positionV>
            <wp:extent cx="7134225" cy="127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-1887855</wp:posOffset>
            </wp:positionV>
            <wp:extent cx="7134225" cy="1270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-1633855</wp:posOffset>
            </wp:positionV>
            <wp:extent cx="7134225" cy="1270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-1379855</wp:posOffset>
            </wp:positionV>
            <wp:extent cx="7134225" cy="127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-1126490</wp:posOffset>
            </wp:positionV>
            <wp:extent cx="7134225" cy="1270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-872490</wp:posOffset>
            </wp:positionV>
            <wp:extent cx="7134225" cy="1270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-618490</wp:posOffset>
            </wp:positionV>
            <wp:extent cx="7134225" cy="127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-364490</wp:posOffset>
            </wp:positionV>
            <wp:extent cx="7134225" cy="1270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-110490</wp:posOffset>
            </wp:positionV>
            <wp:extent cx="7134225" cy="1270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-4434840</wp:posOffset>
            </wp:positionV>
            <wp:extent cx="7134225" cy="135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(8)</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(6)</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(6)</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(8)</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(10)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(17)</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(14)</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Incentive</w:t>
      </w:r>
    </w:p>
    <w:p>
      <w:pPr>
        <w:jc w:val="center"/>
        <w:ind w:right="780"/>
        <w:spacing w:after="0" w:line="229" w:lineRule="auto"/>
        <w:rPr>
          <w:sz w:val="20"/>
          <w:szCs w:val="20"/>
          <w:color w:val="auto"/>
        </w:rPr>
      </w:pPr>
      <w:r>
        <w:rPr>
          <w:rFonts w:ascii="Times New Roman" w:cs="Times New Roman" w:eastAsia="Times New Roman" w:hAnsi="Times New Roman"/>
          <w:sz w:val="13"/>
          <w:szCs w:val="13"/>
          <w:b w:val="1"/>
          <w:bCs w:val="1"/>
          <w:color w:val="auto"/>
        </w:rPr>
        <w:t xml:space="preserve">Management Fee </w:t>
      </w:r>
      <w:r>
        <w:rPr>
          <w:rFonts w:ascii="Times New Roman" w:cs="Times New Roman" w:eastAsia="Times New Roman" w:hAnsi="Times New Roman"/>
          <w:sz w:val="17"/>
          <w:szCs w:val="17"/>
          <w:b w:val="1"/>
          <w:bCs w:val="1"/>
          <w:color w:val="auto"/>
          <w:vertAlign w:val="superscript"/>
        </w:rPr>
        <w:t>(2)</w:t>
      </w:r>
    </w:p>
    <w:p>
      <w:pPr>
        <w:ind w:left="1040"/>
        <w:spacing w:after="0" w:line="231" w:lineRule="auto"/>
        <w:rPr>
          <w:sz w:val="20"/>
          <w:szCs w:val="20"/>
          <w:color w:val="auto"/>
        </w:rPr>
      </w:pPr>
      <w:r>
        <w:rPr>
          <w:rFonts w:ascii="Times New Roman" w:cs="Times New Roman" w:eastAsia="Times New Roman" w:hAnsi="Times New Roman"/>
          <w:sz w:val="14"/>
          <w:szCs w:val="14"/>
          <w:color w:val="auto"/>
        </w:rPr>
        <w:t xml:space="preserve">10% </w:t>
      </w:r>
      <w:r>
        <w:rPr>
          <w:rFonts w:ascii="Times New Roman" w:cs="Times New Roman" w:eastAsia="Times New Roman" w:hAnsi="Times New Roman"/>
          <w:sz w:val="18"/>
          <w:szCs w:val="18"/>
          <w:color w:val="auto"/>
          <w:vertAlign w:val="superscript"/>
        </w:rPr>
        <w:t>(3)</w:t>
      </w:r>
    </w:p>
    <w:p>
      <w:pPr>
        <w:ind w:left="1040"/>
        <w:spacing w:after="0" w:line="181" w:lineRule="auto"/>
        <w:rPr>
          <w:sz w:val="20"/>
          <w:szCs w:val="20"/>
          <w:color w:val="auto"/>
        </w:rPr>
      </w:pPr>
      <w:r>
        <w:rPr>
          <w:rFonts w:ascii="Times New Roman" w:cs="Times New Roman" w:eastAsia="Times New Roman" w:hAnsi="Times New Roman"/>
          <w:sz w:val="22"/>
          <w:szCs w:val="22"/>
          <w:color w:val="auto"/>
          <w:vertAlign w:val="subscript"/>
        </w:rPr>
        <w:t>15%</w:t>
      </w:r>
      <w:r>
        <w:rPr>
          <w:rFonts w:ascii="Times New Roman" w:cs="Times New Roman" w:eastAsia="Times New Roman" w:hAnsi="Times New Roman"/>
          <w:sz w:val="8"/>
          <w:szCs w:val="8"/>
          <w:color w:val="auto"/>
        </w:rPr>
        <w:t xml:space="preserve"> (4) (5)</w:t>
      </w:r>
    </w:p>
    <w:p>
      <w:pPr>
        <w:ind w:left="1040"/>
        <w:spacing w:after="0" w:line="182" w:lineRule="auto"/>
        <w:rPr>
          <w:sz w:val="20"/>
          <w:szCs w:val="20"/>
          <w:color w:val="auto"/>
        </w:rPr>
      </w:pPr>
      <w:r>
        <w:rPr>
          <w:rFonts w:ascii="Times New Roman" w:cs="Times New Roman" w:eastAsia="Times New Roman" w:hAnsi="Times New Roman"/>
          <w:sz w:val="23"/>
          <w:szCs w:val="23"/>
          <w:color w:val="auto"/>
          <w:vertAlign w:val="subscript"/>
        </w:rPr>
        <w:t>15%</w:t>
      </w:r>
      <w:r>
        <w:rPr>
          <w:rFonts w:ascii="Times New Roman" w:cs="Times New Roman" w:eastAsia="Times New Roman" w:hAnsi="Times New Roman"/>
          <w:sz w:val="8"/>
          <w:szCs w:val="8"/>
          <w:color w:val="auto"/>
        </w:rPr>
        <w:t xml:space="preserve"> (4) (5)</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20%</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8"/>
          <w:szCs w:val="18"/>
          <w:color w:val="auto"/>
          <w:vertAlign w:val="superscript"/>
        </w:rPr>
        <w:t>(7)</w:t>
      </w:r>
    </w:p>
    <w:p>
      <w:pPr>
        <w:ind w:left="1040"/>
        <w:spacing w:after="0" w:line="182" w:lineRule="auto"/>
        <w:rPr>
          <w:sz w:val="20"/>
          <w:szCs w:val="20"/>
          <w:color w:val="auto"/>
        </w:rPr>
      </w:pPr>
      <w:r>
        <w:rPr>
          <w:rFonts w:ascii="Times New Roman" w:cs="Times New Roman" w:eastAsia="Times New Roman" w:hAnsi="Times New Roman"/>
          <w:sz w:val="22"/>
          <w:szCs w:val="22"/>
          <w:color w:val="auto"/>
          <w:vertAlign w:val="subscript"/>
        </w:rPr>
        <w:t>15%</w:t>
      </w:r>
      <w:r>
        <w:rPr>
          <w:rFonts w:ascii="Times New Roman" w:cs="Times New Roman" w:eastAsia="Times New Roman" w:hAnsi="Times New Roman"/>
          <w:sz w:val="8"/>
          <w:szCs w:val="8"/>
          <w:color w:val="auto"/>
        </w:rPr>
        <w:t xml:space="preserve"> (4) (9)</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10%</w:t>
      </w:r>
    </w:p>
    <w:p>
      <w:pPr>
        <w:ind w:left="1040"/>
        <w:spacing w:after="0" w:line="194" w:lineRule="auto"/>
        <w:rPr>
          <w:sz w:val="20"/>
          <w:szCs w:val="20"/>
          <w:color w:val="auto"/>
        </w:rPr>
      </w:pPr>
      <w:r>
        <w:rPr>
          <w:rFonts w:ascii="Times New Roman" w:cs="Times New Roman" w:eastAsia="Times New Roman" w:hAnsi="Times New Roman"/>
          <w:sz w:val="24"/>
          <w:szCs w:val="24"/>
          <w:color w:val="auto"/>
          <w:vertAlign w:val="subscript"/>
        </w:rPr>
        <w:t>15%</w:t>
      </w:r>
      <w:r>
        <w:rPr>
          <w:rFonts w:ascii="Times New Roman" w:cs="Times New Roman" w:eastAsia="Times New Roman" w:hAnsi="Times New Roman"/>
          <w:sz w:val="8"/>
          <w:szCs w:val="8"/>
          <w:color w:val="auto"/>
        </w:rPr>
        <w:t xml:space="preserve"> (4) (7) (10)</w:t>
      </w:r>
    </w:p>
    <w:p>
      <w:pPr>
        <w:ind w:left="1040"/>
        <w:spacing w:after="0"/>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8"/>
          <w:szCs w:val="18"/>
          <w:color w:val="auto"/>
          <w:vertAlign w:val="superscript"/>
        </w:rPr>
        <w:t>(4)</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10%</w:t>
      </w:r>
    </w:p>
    <w:p>
      <w:pPr>
        <w:spacing w:after="0" w:line="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15%</w:t>
      </w:r>
    </w:p>
    <w:p>
      <w:pPr>
        <w:ind w:left="1040"/>
        <w:spacing w:after="0" w:line="186" w:lineRule="auto"/>
        <w:rPr>
          <w:sz w:val="20"/>
          <w:szCs w:val="20"/>
          <w:color w:val="auto"/>
        </w:rPr>
      </w:pPr>
      <w:r>
        <w:rPr>
          <w:rFonts w:ascii="Times New Roman" w:cs="Times New Roman" w:eastAsia="Times New Roman" w:hAnsi="Times New Roman"/>
          <w:sz w:val="25"/>
          <w:szCs w:val="25"/>
          <w:color w:val="auto"/>
          <w:vertAlign w:val="subscript"/>
        </w:rPr>
        <w:t>15%</w:t>
      </w:r>
      <w:r>
        <w:rPr>
          <w:rFonts w:ascii="Times New Roman" w:cs="Times New Roman" w:eastAsia="Times New Roman" w:hAnsi="Times New Roman"/>
          <w:sz w:val="9"/>
          <w:szCs w:val="9"/>
          <w:color w:val="auto"/>
        </w:rPr>
        <w:t xml:space="preserve"> (4) (9)</w:t>
      </w:r>
    </w:p>
    <w:p>
      <w:pPr>
        <w:ind w:left="1040"/>
        <w:spacing w:after="0" w:line="182" w:lineRule="auto"/>
        <w:rPr>
          <w:sz w:val="20"/>
          <w:szCs w:val="20"/>
          <w:color w:val="auto"/>
        </w:rPr>
      </w:pPr>
      <w:r>
        <w:rPr>
          <w:rFonts w:ascii="Times New Roman" w:cs="Times New Roman" w:eastAsia="Times New Roman" w:hAnsi="Times New Roman"/>
          <w:sz w:val="23"/>
          <w:szCs w:val="23"/>
          <w:color w:val="auto"/>
          <w:vertAlign w:val="subscript"/>
        </w:rPr>
        <w:t>15%</w:t>
      </w:r>
      <w:r>
        <w:rPr>
          <w:rFonts w:ascii="Times New Roman" w:cs="Times New Roman" w:eastAsia="Times New Roman" w:hAnsi="Times New Roman"/>
          <w:sz w:val="8"/>
          <w:szCs w:val="8"/>
          <w:color w:val="auto"/>
        </w:rPr>
        <w:t xml:space="preserve"> (4) (5)</w:t>
      </w:r>
    </w:p>
    <w:p>
      <w:pPr>
        <w:ind w:left="1040"/>
        <w:spacing w:after="0" w:line="181" w:lineRule="auto"/>
        <w:rPr>
          <w:sz w:val="20"/>
          <w:szCs w:val="20"/>
          <w:color w:val="auto"/>
        </w:rPr>
      </w:pPr>
      <w:r>
        <w:rPr>
          <w:rFonts w:ascii="Times New Roman" w:cs="Times New Roman" w:eastAsia="Times New Roman" w:hAnsi="Times New Roman"/>
          <w:sz w:val="23"/>
          <w:szCs w:val="23"/>
          <w:color w:val="auto"/>
          <w:vertAlign w:val="subscript"/>
        </w:rPr>
        <w:t>15%</w:t>
      </w:r>
      <w:r>
        <w:rPr>
          <w:rFonts w:ascii="Times New Roman" w:cs="Times New Roman" w:eastAsia="Times New Roman" w:hAnsi="Times New Roman"/>
          <w:sz w:val="8"/>
          <w:szCs w:val="8"/>
          <w:color w:val="auto"/>
        </w:rPr>
        <w:t xml:space="preserve"> (4) (5)</w:t>
      </w:r>
    </w:p>
    <w:p>
      <w:pPr>
        <w:ind w:left="1040"/>
        <w:spacing w:after="0" w:line="181" w:lineRule="auto"/>
        <w:rPr>
          <w:sz w:val="20"/>
          <w:szCs w:val="20"/>
          <w:color w:val="auto"/>
        </w:rPr>
      </w:pPr>
      <w:r>
        <w:rPr>
          <w:rFonts w:ascii="Times New Roman" w:cs="Times New Roman" w:eastAsia="Times New Roman" w:hAnsi="Times New Roman"/>
          <w:sz w:val="23"/>
          <w:szCs w:val="23"/>
          <w:color w:val="auto"/>
          <w:vertAlign w:val="subscript"/>
        </w:rPr>
        <w:t>15%</w:t>
      </w:r>
      <w:r>
        <w:rPr>
          <w:rFonts w:ascii="Times New Roman" w:cs="Times New Roman" w:eastAsia="Times New Roman" w:hAnsi="Times New Roman"/>
          <w:sz w:val="8"/>
          <w:szCs w:val="8"/>
          <w:color w:val="auto"/>
        </w:rPr>
        <w:t xml:space="preserve"> (4) (5)</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 xml:space="preserve">10% </w:t>
      </w:r>
      <w:r>
        <w:rPr>
          <w:rFonts w:ascii="Times New Roman" w:cs="Times New Roman" w:eastAsia="Times New Roman" w:hAnsi="Times New Roman"/>
          <w:sz w:val="18"/>
          <w:szCs w:val="18"/>
          <w:color w:val="auto"/>
          <w:vertAlign w:val="superscript"/>
        </w:rPr>
        <w:t>(5)</w:t>
      </w:r>
    </w:p>
    <w:p>
      <w:pPr>
        <w:ind w:left="1040"/>
        <w:spacing w:after="0" w:line="182" w:lineRule="auto"/>
        <w:rPr>
          <w:sz w:val="20"/>
          <w:szCs w:val="20"/>
          <w:color w:val="auto"/>
        </w:rPr>
      </w:pPr>
      <w:r>
        <w:rPr>
          <w:rFonts w:ascii="Times New Roman" w:cs="Times New Roman" w:eastAsia="Times New Roman" w:hAnsi="Times New Roman"/>
          <w:sz w:val="22"/>
          <w:szCs w:val="22"/>
          <w:color w:val="auto"/>
          <w:vertAlign w:val="subscript"/>
        </w:rPr>
        <w:t>20%</w:t>
      </w:r>
      <w:r>
        <w:rPr>
          <w:rFonts w:ascii="Times New Roman" w:cs="Times New Roman" w:eastAsia="Times New Roman" w:hAnsi="Times New Roman"/>
          <w:sz w:val="8"/>
          <w:szCs w:val="8"/>
          <w:color w:val="auto"/>
        </w:rPr>
        <w:t xml:space="preserve"> (10)</w:t>
      </w:r>
    </w:p>
    <w:p>
      <w:pPr>
        <w:ind w:left="1040"/>
        <w:spacing w:after="0" w:line="182" w:lineRule="auto"/>
        <w:rPr>
          <w:sz w:val="20"/>
          <w:szCs w:val="20"/>
          <w:color w:val="auto"/>
        </w:rPr>
      </w:pPr>
      <w:r>
        <w:rPr>
          <w:rFonts w:ascii="Times New Roman" w:cs="Times New Roman" w:eastAsia="Times New Roman" w:hAnsi="Times New Roman"/>
          <w:sz w:val="23"/>
          <w:szCs w:val="23"/>
          <w:color w:val="auto"/>
          <w:vertAlign w:val="subscript"/>
        </w:rPr>
        <w:t>15%</w:t>
      </w:r>
      <w:r>
        <w:rPr>
          <w:rFonts w:ascii="Times New Roman" w:cs="Times New Roman" w:eastAsia="Times New Roman" w:hAnsi="Times New Roman"/>
          <w:sz w:val="8"/>
          <w:szCs w:val="8"/>
          <w:color w:val="auto"/>
        </w:rPr>
        <w:t xml:space="preserve"> (4)</w:t>
      </w:r>
    </w:p>
    <w:p>
      <w:pPr>
        <w:ind w:left="1040"/>
        <w:spacing w:after="0"/>
        <w:rPr>
          <w:sz w:val="20"/>
          <w:szCs w:val="20"/>
          <w:color w:val="auto"/>
        </w:rPr>
      </w:pPr>
      <w:r>
        <w:rPr>
          <w:rFonts w:ascii="Times New Roman" w:cs="Times New Roman" w:eastAsia="Times New Roman" w:hAnsi="Times New Roman"/>
          <w:sz w:val="14"/>
          <w:szCs w:val="14"/>
          <w:color w:val="auto"/>
        </w:rPr>
        <w:t xml:space="preserve">10% </w:t>
      </w:r>
      <w:r>
        <w:rPr>
          <w:rFonts w:ascii="Times New Roman" w:cs="Times New Roman" w:eastAsia="Times New Roman" w:hAnsi="Times New Roman"/>
          <w:sz w:val="18"/>
          <w:szCs w:val="18"/>
          <w:color w:val="auto"/>
          <w:vertAlign w:val="superscript"/>
        </w:rPr>
        <w:t>(4)</w:t>
      </w:r>
    </w:p>
    <w:p>
      <w:pPr>
        <w:ind w:left="1040"/>
        <w:spacing w:after="0" w:line="182" w:lineRule="auto"/>
        <w:rPr>
          <w:sz w:val="20"/>
          <w:szCs w:val="20"/>
          <w:color w:val="auto"/>
        </w:rPr>
      </w:pPr>
      <w:r>
        <w:rPr>
          <w:rFonts w:ascii="Times New Roman" w:cs="Times New Roman" w:eastAsia="Times New Roman" w:hAnsi="Times New Roman"/>
          <w:sz w:val="22"/>
          <w:szCs w:val="22"/>
          <w:color w:val="auto"/>
          <w:vertAlign w:val="subscript"/>
        </w:rPr>
        <w:t>15%</w:t>
      </w:r>
      <w:r>
        <w:rPr>
          <w:rFonts w:ascii="Times New Roman" w:cs="Times New Roman" w:eastAsia="Times New Roman" w:hAnsi="Times New Roman"/>
          <w:sz w:val="8"/>
          <w:szCs w:val="8"/>
          <w:color w:val="auto"/>
        </w:rPr>
        <w:t xml:space="preserve"> (4)</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20%</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8"/>
          <w:szCs w:val="18"/>
          <w:color w:val="auto"/>
          <w:vertAlign w:val="superscript"/>
        </w:rPr>
        <w:t>(4)</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15%</w:t>
      </w:r>
    </w:p>
    <w:p>
      <w:pPr>
        <w:ind w:left="1040"/>
        <w:spacing w:after="0" w:line="180" w:lineRule="auto"/>
        <w:rPr>
          <w:sz w:val="20"/>
          <w:szCs w:val="20"/>
          <w:color w:val="auto"/>
        </w:rPr>
      </w:pPr>
      <w:r>
        <w:rPr>
          <w:rFonts w:ascii="Times New Roman" w:cs="Times New Roman" w:eastAsia="Times New Roman" w:hAnsi="Times New Roman"/>
          <w:sz w:val="24"/>
          <w:szCs w:val="24"/>
          <w:color w:val="auto"/>
          <w:vertAlign w:val="subscript"/>
        </w:rPr>
        <w:t>15%</w:t>
      </w:r>
      <w:r>
        <w:rPr>
          <w:rFonts w:ascii="Times New Roman" w:cs="Times New Roman" w:eastAsia="Times New Roman" w:hAnsi="Times New Roman"/>
          <w:sz w:val="8"/>
          <w:szCs w:val="8"/>
          <w:color w:val="auto"/>
        </w:rPr>
        <w:t xml:space="preserve"> (4) (9)</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8"/>
          <w:szCs w:val="18"/>
          <w:color w:val="auto"/>
          <w:vertAlign w:val="superscript"/>
        </w:rPr>
        <w:t>(5)</w:t>
      </w:r>
    </w:p>
    <w:p>
      <w:pPr>
        <w:ind w:left="1040"/>
        <w:spacing w:after="0" w:line="234" w:lineRule="auto"/>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8"/>
          <w:szCs w:val="18"/>
          <w:color w:val="auto"/>
          <w:vertAlign w:val="superscript"/>
        </w:rPr>
        <w:t>(5)</w:t>
      </w:r>
    </w:p>
    <w:p>
      <w:pPr>
        <w:ind w:left="1040"/>
        <w:spacing w:after="0"/>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8"/>
          <w:szCs w:val="18"/>
          <w:color w:val="auto"/>
          <w:vertAlign w:val="superscript"/>
        </w:rPr>
        <w:t>(4)</w:t>
      </w:r>
    </w:p>
    <w:p>
      <w:pPr>
        <w:spacing w:after="0" w:line="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10%</w:t>
      </w:r>
    </w:p>
    <w:p>
      <w:pPr>
        <w:ind w:left="1040"/>
        <w:spacing w:after="0" w:line="180" w:lineRule="auto"/>
        <w:rPr>
          <w:sz w:val="20"/>
          <w:szCs w:val="20"/>
          <w:color w:val="auto"/>
        </w:rPr>
      </w:pPr>
      <w:r>
        <w:rPr>
          <w:rFonts w:ascii="Times New Roman" w:cs="Times New Roman" w:eastAsia="Times New Roman" w:hAnsi="Times New Roman"/>
          <w:sz w:val="24"/>
          <w:szCs w:val="24"/>
          <w:color w:val="auto"/>
          <w:vertAlign w:val="subscript"/>
        </w:rPr>
        <w:t>15%</w:t>
      </w:r>
      <w:r>
        <w:rPr>
          <w:rFonts w:ascii="Times New Roman" w:cs="Times New Roman" w:eastAsia="Times New Roman" w:hAnsi="Times New Roman"/>
          <w:sz w:val="8"/>
          <w:szCs w:val="8"/>
          <w:color w:val="auto"/>
        </w:rPr>
        <w:t xml:space="preserve"> (4) (5)</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8"/>
          <w:szCs w:val="18"/>
          <w:color w:val="auto"/>
          <w:vertAlign w:val="superscript"/>
        </w:rPr>
        <w:t>(4)</w:t>
      </w:r>
    </w:p>
    <w:p>
      <w:pPr>
        <w:ind w:left="1040"/>
        <w:spacing w:after="0" w:line="182" w:lineRule="auto"/>
        <w:rPr>
          <w:sz w:val="20"/>
          <w:szCs w:val="20"/>
          <w:color w:val="auto"/>
        </w:rPr>
      </w:pPr>
      <w:r>
        <w:rPr>
          <w:rFonts w:ascii="Times New Roman" w:cs="Times New Roman" w:eastAsia="Times New Roman" w:hAnsi="Times New Roman"/>
          <w:sz w:val="22"/>
          <w:szCs w:val="22"/>
          <w:color w:val="auto"/>
          <w:vertAlign w:val="subscript"/>
        </w:rPr>
        <w:t>15%</w:t>
      </w:r>
      <w:r>
        <w:rPr>
          <w:rFonts w:ascii="Times New Roman" w:cs="Times New Roman" w:eastAsia="Times New Roman" w:hAnsi="Times New Roman"/>
          <w:sz w:val="8"/>
          <w:szCs w:val="8"/>
          <w:color w:val="auto"/>
        </w:rPr>
        <w:t xml:space="preserve"> (4) (9)</w:t>
      </w:r>
    </w:p>
    <w:p>
      <w:pPr>
        <w:ind w:left="1040"/>
        <w:spacing w:after="0" w:line="182" w:lineRule="auto"/>
        <w:rPr>
          <w:sz w:val="20"/>
          <w:szCs w:val="20"/>
          <w:color w:val="auto"/>
        </w:rPr>
      </w:pPr>
      <w:r>
        <w:rPr>
          <w:rFonts w:ascii="Times New Roman" w:cs="Times New Roman" w:eastAsia="Times New Roman" w:hAnsi="Times New Roman"/>
          <w:sz w:val="23"/>
          <w:szCs w:val="23"/>
          <w:color w:val="auto"/>
          <w:vertAlign w:val="subscript"/>
        </w:rPr>
        <w:t>15%</w:t>
      </w:r>
      <w:r>
        <w:rPr>
          <w:rFonts w:ascii="Times New Roman" w:cs="Times New Roman" w:eastAsia="Times New Roman" w:hAnsi="Times New Roman"/>
          <w:sz w:val="8"/>
          <w:szCs w:val="8"/>
          <w:color w:val="auto"/>
        </w:rPr>
        <w:t xml:space="preserve"> (4) (5)</w:t>
      </w:r>
    </w:p>
    <w:p>
      <w:pPr>
        <w:ind w:left="1040"/>
        <w:spacing w:after="0"/>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8"/>
          <w:szCs w:val="18"/>
          <w:color w:val="auto"/>
          <w:vertAlign w:val="superscript"/>
        </w:rPr>
        <w:t>(4)</w:t>
      </w:r>
    </w:p>
    <w:p>
      <w:pPr>
        <w:ind w:left="1040"/>
        <w:spacing w:after="0" w:line="182" w:lineRule="auto"/>
        <w:rPr>
          <w:sz w:val="20"/>
          <w:szCs w:val="20"/>
          <w:color w:val="auto"/>
        </w:rPr>
      </w:pPr>
      <w:r>
        <w:rPr>
          <w:rFonts w:ascii="Times New Roman" w:cs="Times New Roman" w:eastAsia="Times New Roman" w:hAnsi="Times New Roman"/>
          <w:sz w:val="22"/>
          <w:szCs w:val="22"/>
          <w:color w:val="auto"/>
          <w:vertAlign w:val="subscript"/>
        </w:rPr>
        <w:t>10%</w:t>
      </w:r>
      <w:r>
        <w:rPr>
          <w:rFonts w:ascii="Times New Roman" w:cs="Times New Roman" w:eastAsia="Times New Roman" w:hAnsi="Times New Roman"/>
          <w:sz w:val="8"/>
          <w:szCs w:val="8"/>
          <w:color w:val="auto"/>
        </w:rPr>
        <w:t xml:space="preserve"> (5)</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25%</w:t>
      </w:r>
    </w:p>
    <w:p>
      <w:pPr>
        <w:spacing w:after="0" w:line="127" w:lineRule="exact"/>
        <w:rPr>
          <w:sz w:val="20"/>
          <w:szCs w:val="20"/>
          <w:color w:val="auto"/>
        </w:rPr>
      </w:pPr>
    </w:p>
    <w:p>
      <w:pPr>
        <w:sectPr>
          <w:pgSz w:w="11900" w:h="16838" w:orient="portrait"/>
          <w:cols w:equalWidth="0" w:num="3">
            <w:col w:w="8480" w:space="20"/>
            <w:col w:w="340" w:space="420"/>
            <w:col w:w="1980"/>
          </w:cols>
          <w:pgMar w:left="320" w:top="35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47" w:lineRule="exact"/>
        <w:rPr>
          <w:sz w:val="20"/>
          <w:szCs w:val="20"/>
          <w:color w:val="auto"/>
        </w:rPr>
      </w:pPr>
    </w:p>
    <w:p>
      <w:pPr>
        <w:ind w:left="640" w:hanging="314"/>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percentage of gross revenues.</w:t>
      </w:r>
    </w:p>
    <w:p>
      <w:pPr>
        <w:spacing w:after="0" w:line="65"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percentage of hotel operating profits above a specified return on our invested capital or specified operating profit thresholds.</w:t>
      </w:r>
    </w:p>
    <w:p>
      <w:pPr>
        <w:spacing w:after="0" w:line="65"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management fees (base plus incentive) are capped at 3.5% of total operating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ind w:left="640" w:hanging="314"/>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incentive management fees are capped at 1% of gross revenues.</w:t>
      </w:r>
    </w:p>
    <w:p>
      <w:pPr>
        <w:spacing w:after="0" w:line="65"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property will not individually earn their incentive fee unless a collective owner's priority threshold is met.</w:t>
      </w:r>
    </w:p>
    <w:p>
      <w:pPr>
        <w:spacing w:after="0" w:line="65"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base management fee is the sum of 1.5% of gross revenues and 1.5% of gross operating profit. Total management fees are capped at 3% of gross revenues.</w:t>
      </w:r>
    </w:p>
    <w:p>
      <w:pPr>
        <w:spacing w:after="0" w:line="52"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15% of net operating income.</w:t>
      </w:r>
    </w:p>
    <w:p>
      <w:pPr>
        <w:spacing w:after="0" w:line="65" w:lineRule="exact"/>
        <w:rPr>
          <w:rFonts w:ascii="Times New Roman" w:cs="Times New Roman" w:eastAsia="Times New Roman" w:hAnsi="Times New Roman"/>
          <w:sz w:val="14"/>
          <w:szCs w:val="14"/>
          <w:color w:val="auto"/>
        </w:rPr>
      </w:pPr>
    </w:p>
    <w:p>
      <w:pPr>
        <w:ind w:left="640" w:right="20" w:hanging="314"/>
        <w:spacing w:after="0" w:line="293" w:lineRule="auto"/>
        <w:tabs>
          <w:tab w:leader="none" w:pos="6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the base management fee decreases to 1.5% of total revenues if actual EBITDA is less than the budgeted EBITDA for the year. Base management fees for the year ended December 31, 2025 were 1.5% of gross revenues.</w:t>
      </w:r>
    </w:p>
    <w:p>
      <w:pPr>
        <w:spacing w:after="0" w:line="6"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incentive management fee increases to 1.5% of gross revenues if the gross operating profit exceeds a specified amount plus any owner's priority.</w:t>
      </w:r>
    </w:p>
    <w:p>
      <w:pPr>
        <w:spacing w:after="0" w:line="65" w:lineRule="exact"/>
        <w:rPr>
          <w:rFonts w:ascii="Times New Roman" w:cs="Times New Roman" w:eastAsia="Times New Roman" w:hAnsi="Times New Roman"/>
          <w:sz w:val="14"/>
          <w:szCs w:val="14"/>
          <w:color w:val="auto"/>
        </w:rPr>
      </w:pPr>
    </w:p>
    <w:p>
      <w:pPr>
        <w:ind w:left="640" w:hanging="314"/>
        <w:spacing w:after="0" w:line="273" w:lineRule="auto"/>
        <w:tabs>
          <w:tab w:leader="none" w:pos="63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February 3, 2026, we entered into a new management agreement with Highgate Hotels. Under the new management agreement, base management fees are 2% of gross revenues and incentive management fees are 15% of aggregate operating profit exceeding aggregate owner's priority, capped at 1% of gross revenues.</w:t>
      </w:r>
    </w:p>
    <w:p>
      <w:pPr>
        <w:spacing w:after="0" w:line="20" w:lineRule="exact"/>
        <w:rPr>
          <w:rFonts w:ascii="Times New Roman" w:cs="Times New Roman" w:eastAsia="Times New Roman" w:hAnsi="Times New Roman"/>
          <w:sz w:val="14"/>
          <w:szCs w:val="14"/>
          <w:color w:val="auto"/>
        </w:rPr>
      </w:pPr>
    </w:p>
    <w:p>
      <w:pPr>
        <w:ind w:left="640" w:right="280" w:hanging="314"/>
        <w:spacing w:after="0" w:line="275" w:lineRule="auto"/>
        <w:tabs>
          <w:tab w:leader="none" w:pos="63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February 3, 2026, we terminated the management agreement with HEI Hotels &amp; Resorts and entered into a management agreement with Highgate Hotels. Under the new management agreement, base management fees are 2% of gross revenues and incentive management fees are 15% of aggregate operating profit exceeding aggregate owner's priority, capped at 1% of gross revenues.</w:t>
      </w:r>
    </w:p>
    <w:p>
      <w:pPr>
        <w:spacing w:after="0" w:line="19"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incentive management fee is capped at 0.75% of gross revenues.</w:t>
      </w:r>
    </w:p>
    <w:p>
      <w:pPr>
        <w:spacing w:after="0" w:line="52"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base management fee is the greater of 1.25% of total revenues or the sum of 1% of total revenues plus $75,000.</w:t>
      </w:r>
    </w:p>
    <w:p>
      <w:pPr>
        <w:spacing w:after="0" w:line="65"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management fees are capped at 2.5% of gross revenues.</w:t>
      </w:r>
    </w:p>
    <w:p>
      <w:pPr>
        <w:spacing w:after="0" w:line="65"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management fees are capped at 4% of gross revenues.</w:t>
      </w:r>
    </w:p>
    <w:p>
      <w:pPr>
        <w:spacing w:after="0" w:line="65"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base management fee decreased from 2.25% of gross revenues to 2% of gross revenues beginning September 1, 2024.</w:t>
      </w:r>
    </w:p>
    <w:p>
      <w:pPr>
        <w:spacing w:after="0" w:line="65" w:lineRule="exact"/>
        <w:rPr>
          <w:rFonts w:ascii="Times New Roman" w:cs="Times New Roman" w:eastAsia="Times New Roman" w:hAnsi="Times New Roman"/>
          <w:sz w:val="14"/>
          <w:szCs w:val="14"/>
          <w:color w:val="auto"/>
        </w:rPr>
      </w:pPr>
    </w:p>
    <w:p>
      <w:pPr>
        <w:ind w:left="640" w:right="460" w:hanging="314"/>
        <w:spacing w:after="0" w:line="273" w:lineRule="auto"/>
        <w:tabs>
          <w:tab w:leader="none" w:pos="63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base management fee decreases to 0.5% of gross revenues if the annual gross operating profit is less than $36 million. Effective January 1, 2025, the GOP threshold increases annually by the percentage increase in CPI. Base management fees for the year ended December 31, 2025 were 0.5% of gross revenues.</w:t>
      </w:r>
    </w:p>
    <w:p>
      <w:pPr>
        <w:spacing w:after="0" w:line="264" w:lineRule="exact"/>
        <w:rPr>
          <w:sz w:val="20"/>
          <w:szCs w:val="20"/>
          <w:color w:val="auto"/>
        </w:rPr>
      </w:pPr>
    </w:p>
    <w:p>
      <w:pPr>
        <w:ind w:firstLine="400"/>
        <w:spacing w:after="0" w:line="276" w:lineRule="auto"/>
        <w:rPr>
          <w:sz w:val="20"/>
          <w:szCs w:val="20"/>
          <w:color w:val="auto"/>
        </w:rPr>
      </w:pPr>
      <w:r>
        <w:rPr>
          <w:rFonts w:ascii="Times New Roman" w:cs="Times New Roman" w:eastAsia="Times New Roman" w:hAnsi="Times New Roman"/>
          <w:sz w:val="18"/>
          <w:szCs w:val="18"/>
          <w:color w:val="auto"/>
        </w:rPr>
        <w:t>Additional information regarding fees incurred under hotel management agreements can be found in Note 13 to our accompanying consolidated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Franchise Agreements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terms of the hotel franchise agreements for our 19 franchised hotels as of December 31, 2025:</w:t>
      </w:r>
    </w:p>
    <w:p>
      <w:pPr>
        <w:spacing w:after="0" w:line="30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Franchised Hotels</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Franchise Fee</w:t>
            </w:r>
          </w:p>
        </w:tc>
        <w:tc>
          <w:tcPr>
            <w:tcW w:w="0" w:type="dxa"/>
            <w:vAlign w:val="bottom"/>
          </w:tcPr>
          <w:p>
            <w:pPr>
              <w:spacing w:after="0"/>
              <w:rPr>
                <w:sz w:val="1"/>
                <w:szCs w:val="1"/>
                <w:color w:val="auto"/>
              </w:rPr>
            </w:pPr>
          </w:p>
        </w:tc>
      </w:tr>
      <w:tr>
        <w:trPr>
          <w:trHeight w:val="193"/>
        </w:trPr>
        <w:tc>
          <w:tcPr>
            <w:tcW w:w="3320" w:type="dxa"/>
            <w:vAlign w:val="bottom"/>
            <w:gridSpan w:val="2"/>
            <w:vMerge w:val="continue"/>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Agreement</w:t>
            </w:r>
          </w:p>
        </w:tc>
        <w:tc>
          <w:tcPr>
            <w:tcW w:w="4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 Hotel Minneapolis Downtown</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10/2041</w:t>
            </w:r>
          </w:p>
        </w:tc>
        <w:tc>
          <w:tcPr>
            <w:tcW w:w="12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 of gross room sales</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Atlanta Marriott Alpharetta</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 xml:space="preserve">9/2050 </w:t>
            </w:r>
            <w:r>
              <w:rPr>
                <w:rFonts w:ascii="Times New Roman" w:cs="Times New Roman" w:eastAsia="Times New Roman" w:hAnsi="Times New Roman"/>
                <w:sz w:val="18"/>
                <w:szCs w:val="18"/>
                <w:color w:val="auto"/>
                <w:w w:val="95"/>
                <w:vertAlign w:val="superscript"/>
              </w:rPr>
              <w:t>(1)</w:t>
            </w:r>
          </w:p>
        </w:tc>
        <w:tc>
          <w:tcPr>
            <w:tcW w:w="12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 of gross room sales and 3% of gross food and beverage sales</w:t>
            </w:r>
          </w:p>
        </w:tc>
        <w:tc>
          <w:tcPr>
            <w:tcW w:w="0" w:type="dxa"/>
            <w:vAlign w:val="bottom"/>
          </w:tcPr>
          <w:p>
            <w:pPr>
              <w:spacing w:after="0"/>
              <w:rPr>
                <w:sz w:val="1"/>
                <w:szCs w:val="1"/>
                <w:color w:val="auto"/>
              </w:rPr>
            </w:pPr>
          </w:p>
        </w:tc>
      </w:tr>
      <w:tr>
        <w:trPr>
          <w:trHeight w:val="21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Embassy Suites by Hilton Bethesda</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2/2037</w:t>
            </w:r>
          </w:p>
        </w:tc>
        <w:tc>
          <w:tcPr>
            <w:tcW w:w="120" w:type="dxa"/>
            <w:vAlign w:val="bottom"/>
            <w:shd w:val="clear" w:color="auto" w:fill="CCEEFF"/>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3.5% of gross room sales </w:t>
            </w:r>
            <w:r>
              <w:rPr>
                <w:rFonts w:ascii="Times New Roman" w:cs="Times New Roman" w:eastAsia="Times New Roman" w:hAnsi="Times New Roman"/>
                <w:sz w:val="18"/>
                <w:szCs w:val="18"/>
                <w:color w:val="auto"/>
                <w:vertAlign w:val="superscript"/>
              </w:rPr>
              <w:t>(2)</w:t>
            </w:r>
          </w:p>
        </w:tc>
        <w:tc>
          <w:tcPr>
            <w:tcW w:w="0" w:type="dxa"/>
            <w:vAlign w:val="bottom"/>
          </w:tcPr>
          <w:p>
            <w:pPr>
              <w:spacing w:after="0"/>
              <w:rPr>
                <w:sz w:val="1"/>
                <w:szCs w:val="1"/>
                <w:color w:val="auto"/>
              </w:rPr>
            </w:pPr>
          </w:p>
        </w:tc>
      </w:tr>
      <w:tr>
        <w:trPr>
          <w:trHeight w:val="18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Courtyard Denver Downtown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10/2027</w:t>
            </w:r>
          </w:p>
        </w:tc>
        <w:tc>
          <w:tcPr>
            <w:tcW w:w="120" w:type="dxa"/>
            <w:vAlign w:val="bottom"/>
          </w:tcPr>
          <w:p>
            <w:pPr>
              <w:spacing w:after="0"/>
              <w:rPr>
                <w:sz w:val="16"/>
                <w:szCs w:val="16"/>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5.5% of gross room sales</w:t>
            </w:r>
          </w:p>
        </w:tc>
        <w:tc>
          <w:tcPr>
            <w:tcW w:w="0" w:type="dxa"/>
            <w:vAlign w:val="bottom"/>
          </w:tcPr>
          <w:p>
            <w:pPr>
              <w:spacing w:after="0"/>
              <w:rPr>
                <w:sz w:val="1"/>
                <w:szCs w:val="1"/>
                <w:color w:val="auto"/>
              </w:rPr>
            </w:pPr>
          </w:p>
        </w:tc>
      </w:tr>
      <w:tr>
        <w:trPr>
          <w:trHeight w:val="29"/>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Courtyard New York Manhattan/Fifth Avenue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12/2035</w:t>
            </w:r>
          </w:p>
        </w:tc>
        <w:tc>
          <w:tcPr>
            <w:tcW w:w="120" w:type="dxa"/>
            <w:vAlign w:val="bottom"/>
            <w:tcBorders>
              <w:bottom w:val="single" w:sz="8" w:color="CCEEFF"/>
            </w:tcBorders>
            <w:shd w:val="clear" w:color="auto" w:fill="CCEEFF"/>
          </w:tcPr>
          <w:p>
            <w:pPr>
              <w:spacing w:after="0"/>
              <w:rPr>
                <w:sz w:val="16"/>
                <w:szCs w:val="16"/>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 of gross room sales</w:t>
            </w:r>
          </w:p>
        </w:tc>
        <w:tc>
          <w:tcPr>
            <w:tcW w:w="0" w:type="dxa"/>
            <w:vAlign w:val="bottom"/>
          </w:tcPr>
          <w:p>
            <w:pPr>
              <w:spacing w:after="0"/>
              <w:rPr>
                <w:sz w:val="1"/>
                <w:szCs w:val="1"/>
                <w:color w:val="auto"/>
              </w:rPr>
            </w:pPr>
          </w:p>
        </w:tc>
      </w:tr>
      <w:tr>
        <w:trPr>
          <w:trHeight w:val="18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Courtyard New York Manhattan/Midtown East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8/2042</w:t>
            </w:r>
          </w:p>
        </w:tc>
        <w:tc>
          <w:tcPr>
            <w:tcW w:w="120" w:type="dxa"/>
            <w:vAlign w:val="bottom"/>
          </w:tcPr>
          <w:p>
            <w:pPr>
              <w:spacing w:after="0"/>
              <w:rPr>
                <w:sz w:val="16"/>
                <w:szCs w:val="16"/>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 of gross room sales</w:t>
            </w:r>
          </w:p>
        </w:tc>
        <w:tc>
          <w:tcPr>
            <w:tcW w:w="0" w:type="dxa"/>
            <w:vAlign w:val="bottom"/>
          </w:tcPr>
          <w:p>
            <w:pPr>
              <w:spacing w:after="0"/>
              <w:rPr>
                <w:sz w:val="1"/>
                <w:szCs w:val="1"/>
                <w:color w:val="auto"/>
              </w:rPr>
            </w:pPr>
          </w:p>
        </w:tc>
      </w:tr>
      <w:tr>
        <w:trPr>
          <w:trHeight w:val="29"/>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Gwen</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9/2035</w:t>
            </w:r>
          </w:p>
        </w:tc>
        <w:tc>
          <w:tcPr>
            <w:tcW w:w="120" w:type="dxa"/>
            <w:vAlign w:val="bottom"/>
            <w:tcBorders>
              <w:bottom w:val="single" w:sz="8" w:color="CCEEFF"/>
            </w:tcBorders>
            <w:shd w:val="clear" w:color="auto" w:fill="CCEEFF"/>
          </w:tcPr>
          <w:p>
            <w:pPr>
              <w:spacing w:after="0"/>
              <w:rPr>
                <w:sz w:val="16"/>
                <w:szCs w:val="16"/>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 of gross room sales</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 Champlain Burlington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6/2034</w:t>
            </w:r>
          </w:p>
        </w:tc>
        <w:tc>
          <w:tcPr>
            <w:tcW w:w="12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4% of gross room sales </w:t>
            </w:r>
            <w:r>
              <w:rPr>
                <w:rFonts w:ascii="Times New Roman" w:cs="Times New Roman" w:eastAsia="Times New Roman" w:hAnsi="Times New Roman"/>
                <w:sz w:val="18"/>
                <w:szCs w:val="18"/>
                <w:color w:val="auto"/>
                <w:vertAlign w:val="superscript"/>
              </w:rPr>
              <w:t>(3)</w:t>
            </w:r>
          </w:p>
        </w:tc>
        <w:tc>
          <w:tcPr>
            <w:tcW w:w="0" w:type="dxa"/>
            <w:vAlign w:val="bottom"/>
          </w:tcPr>
          <w:p>
            <w:pPr>
              <w:spacing w:after="0"/>
              <w:rPr>
                <w:sz w:val="1"/>
                <w:szCs w:val="1"/>
                <w:color w:val="auto"/>
              </w:rPr>
            </w:pPr>
          </w:p>
        </w:tc>
      </w:tr>
      <w:tr>
        <w:trPr>
          <w:trHeight w:val="193"/>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Hilton Garden Inn New York/Times Square Central</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6/2033</w:t>
            </w:r>
          </w:p>
        </w:tc>
        <w:tc>
          <w:tcPr>
            <w:tcW w:w="120" w:type="dxa"/>
            <w:vAlign w:val="bottom"/>
            <w:tcBorders>
              <w:bottom w:val="single" w:sz="8" w:color="CCEEFF"/>
            </w:tcBorders>
            <w:shd w:val="clear" w:color="auto" w:fill="CCEEFF"/>
          </w:tcPr>
          <w:p>
            <w:pPr>
              <w:spacing w:after="0"/>
              <w:rPr>
                <w:sz w:val="16"/>
                <w:szCs w:val="16"/>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 of gross room sales</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 Clio</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10/2036</w:t>
            </w:r>
          </w:p>
        </w:tc>
        <w:tc>
          <w:tcPr>
            <w:tcW w:w="12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6% of gross room sales and 3% of gross food and beverage sales </w:t>
            </w:r>
            <w:r>
              <w:rPr>
                <w:rFonts w:ascii="Times New Roman" w:cs="Times New Roman" w:eastAsia="Times New Roman" w:hAnsi="Times New Roman"/>
                <w:sz w:val="18"/>
                <w:szCs w:val="18"/>
                <w:color w:val="auto"/>
                <w:vertAlign w:val="superscript"/>
              </w:rPr>
              <w:t>(4)</w:t>
            </w:r>
          </w:p>
        </w:tc>
        <w:tc>
          <w:tcPr>
            <w:tcW w:w="0" w:type="dxa"/>
            <w:vAlign w:val="bottom"/>
          </w:tcPr>
          <w:p>
            <w:pPr>
              <w:spacing w:after="0"/>
              <w:rPr>
                <w:sz w:val="1"/>
                <w:szCs w:val="1"/>
                <w:color w:val="auto"/>
              </w:rPr>
            </w:pPr>
          </w:p>
        </w:tc>
      </w:tr>
      <w:tr>
        <w:trPr>
          <w:trHeight w:val="193"/>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Hythe Vail</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12/2041</w:t>
            </w:r>
          </w:p>
        </w:tc>
        <w:tc>
          <w:tcPr>
            <w:tcW w:w="120" w:type="dxa"/>
            <w:vAlign w:val="bottom"/>
            <w:tcBorders>
              <w:bottom w:val="single" w:sz="8" w:color="CCEEFF"/>
            </w:tcBorders>
            <w:shd w:val="clear" w:color="auto" w:fill="CCEEFF"/>
          </w:tcPr>
          <w:p>
            <w:pPr>
              <w:spacing w:after="0"/>
              <w:rPr>
                <w:sz w:val="16"/>
                <w:szCs w:val="16"/>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 of gross room sales and 2% of gross food and beverage sales</w:t>
            </w:r>
          </w:p>
        </w:tc>
        <w:tc>
          <w:tcPr>
            <w:tcW w:w="0" w:type="dxa"/>
            <w:vAlign w:val="bottom"/>
          </w:tcPr>
          <w:p>
            <w:pPr>
              <w:spacing w:after="0"/>
              <w:rPr>
                <w:sz w:val="1"/>
                <w:szCs w:val="1"/>
                <w:color w:val="auto"/>
              </w:rPr>
            </w:pPr>
          </w:p>
        </w:tc>
      </w:tr>
      <w:tr>
        <w:trPr>
          <w:trHeight w:val="189"/>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Kimpton Shorebreak Fort Lauderdale Beach Resort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4/2041</w:t>
            </w:r>
          </w:p>
        </w:tc>
        <w:tc>
          <w:tcPr>
            <w:tcW w:w="120" w:type="dxa"/>
            <w:vAlign w:val="bottom"/>
          </w:tcPr>
          <w:p>
            <w:pPr>
              <w:spacing w:after="0"/>
              <w:rPr>
                <w:sz w:val="16"/>
                <w:szCs w:val="16"/>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 of gross room sales and 2% of gross food and beverage sales</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Lodge at Sonoma Resort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12/2035</w:t>
            </w:r>
          </w:p>
        </w:tc>
        <w:tc>
          <w:tcPr>
            <w:tcW w:w="120" w:type="dxa"/>
            <w:vAlign w:val="bottom"/>
            <w:tcBorders>
              <w:bottom w:val="single" w:sz="8" w:color="CCEEFF"/>
            </w:tcBorders>
            <w:shd w:val="clear" w:color="auto" w:fill="CCEEFF"/>
          </w:tcPr>
          <w:p>
            <w:pPr>
              <w:spacing w:after="0"/>
              <w:rPr>
                <w:sz w:val="16"/>
                <w:szCs w:val="16"/>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 of gross room sales</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Margaritaville Beach House Key West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4/2041</w:t>
            </w:r>
          </w:p>
        </w:tc>
        <w:tc>
          <w:tcPr>
            <w:tcW w:w="12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1.5% of gross revenues </w:t>
            </w:r>
            <w:r>
              <w:rPr>
                <w:rFonts w:ascii="Times New Roman" w:cs="Times New Roman" w:eastAsia="Times New Roman" w:hAnsi="Times New Roman"/>
                <w:sz w:val="18"/>
                <w:szCs w:val="18"/>
                <w:color w:val="auto"/>
                <w:vertAlign w:val="superscript"/>
              </w:rPr>
              <w:t>(5)</w:t>
            </w:r>
          </w:p>
        </w:tc>
        <w:tc>
          <w:tcPr>
            <w:tcW w:w="0" w:type="dxa"/>
            <w:vAlign w:val="bottom"/>
          </w:tcPr>
          <w:p>
            <w:pPr>
              <w:spacing w:after="0"/>
              <w:rPr>
                <w:sz w:val="1"/>
                <w:szCs w:val="1"/>
                <w:color w:val="auto"/>
              </w:rPr>
            </w:pPr>
          </w:p>
        </w:tc>
      </w:tr>
      <w:tr>
        <w:trPr>
          <w:trHeight w:val="193"/>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Lindy Renaissance Charleston Hotel</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12/2031</w:t>
            </w:r>
          </w:p>
        </w:tc>
        <w:tc>
          <w:tcPr>
            <w:tcW w:w="120" w:type="dxa"/>
            <w:vAlign w:val="bottom"/>
            <w:tcBorders>
              <w:bottom w:val="single" w:sz="8" w:color="CCEEFF"/>
            </w:tcBorders>
            <w:shd w:val="clear" w:color="auto" w:fill="CCEEFF"/>
          </w:tcPr>
          <w:p>
            <w:pPr>
              <w:spacing w:after="0"/>
              <w:rPr>
                <w:sz w:val="16"/>
                <w:szCs w:val="16"/>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 of gross room sales</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Salt Lake City Marriott Downtown at City Creek</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 xml:space="preserve">9/2050 </w:t>
            </w:r>
            <w:r>
              <w:rPr>
                <w:rFonts w:ascii="Times New Roman" w:cs="Times New Roman" w:eastAsia="Times New Roman" w:hAnsi="Times New Roman"/>
                <w:sz w:val="18"/>
                <w:szCs w:val="18"/>
                <w:color w:val="auto"/>
                <w:w w:val="95"/>
                <w:vertAlign w:val="superscript"/>
              </w:rPr>
              <w:t>(1)</w:t>
            </w:r>
          </w:p>
        </w:tc>
        <w:tc>
          <w:tcPr>
            <w:tcW w:w="12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 of gross room sales and 3% of gross food and beverage sales</w:t>
            </w:r>
          </w:p>
        </w:tc>
        <w:tc>
          <w:tcPr>
            <w:tcW w:w="0" w:type="dxa"/>
            <w:vAlign w:val="bottom"/>
          </w:tcPr>
          <w:p>
            <w:pPr>
              <w:spacing w:after="0"/>
              <w:rPr>
                <w:sz w:val="1"/>
                <w:szCs w:val="1"/>
                <w:color w:val="auto"/>
              </w:rPr>
            </w:pPr>
          </w:p>
        </w:tc>
      </w:tr>
      <w:tr>
        <w:trPr>
          <w:trHeight w:val="21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Westin Boston Seaport District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12/2026</w:t>
            </w:r>
          </w:p>
        </w:tc>
        <w:tc>
          <w:tcPr>
            <w:tcW w:w="120" w:type="dxa"/>
            <w:vAlign w:val="bottom"/>
            <w:shd w:val="clear" w:color="auto" w:fill="CCEEFF"/>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6% of gross room sales and 2% of gross food and beverage sales </w:t>
            </w:r>
            <w:r>
              <w:rPr>
                <w:rFonts w:ascii="Times New Roman" w:cs="Times New Roman" w:eastAsia="Times New Roman" w:hAnsi="Times New Roman"/>
                <w:sz w:val="18"/>
                <w:szCs w:val="18"/>
                <w:color w:val="auto"/>
                <w:vertAlign w:val="superscript"/>
              </w:rPr>
              <w:t>(6)</w:t>
            </w:r>
          </w:p>
        </w:tc>
        <w:tc>
          <w:tcPr>
            <w:tcW w:w="0" w:type="dxa"/>
            <w:vAlign w:val="bottom"/>
          </w:tcPr>
          <w:p>
            <w:pPr>
              <w:spacing w:after="0"/>
              <w:rPr>
                <w:sz w:val="1"/>
                <w:szCs w:val="1"/>
                <w:color w:val="auto"/>
              </w:rPr>
            </w:pPr>
          </w:p>
        </w:tc>
      </w:tr>
      <w:tr>
        <w:trPr>
          <w:trHeight w:val="18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Westin Fort Lauderdale Beach Resort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12/2034</w:t>
            </w:r>
          </w:p>
        </w:tc>
        <w:tc>
          <w:tcPr>
            <w:tcW w:w="120" w:type="dxa"/>
            <w:vAlign w:val="bottom"/>
          </w:tcPr>
          <w:p>
            <w:pPr>
              <w:spacing w:after="0"/>
              <w:rPr>
                <w:sz w:val="16"/>
                <w:szCs w:val="16"/>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 of gross room sales and 2% of gross food and beverage sales</w:t>
            </w:r>
          </w:p>
        </w:tc>
        <w:tc>
          <w:tcPr>
            <w:tcW w:w="0" w:type="dxa"/>
            <w:vAlign w:val="bottom"/>
          </w:tcPr>
          <w:p>
            <w:pPr>
              <w:spacing w:after="0"/>
              <w:rPr>
                <w:sz w:val="1"/>
                <w:szCs w:val="1"/>
                <w:color w:val="auto"/>
              </w:rPr>
            </w:pPr>
          </w:p>
        </w:tc>
      </w:tr>
      <w:tr>
        <w:trPr>
          <w:trHeight w:val="29"/>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Westin San Diego Bayview</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12/2040</w:t>
            </w:r>
          </w:p>
        </w:tc>
        <w:tc>
          <w:tcPr>
            <w:tcW w:w="120" w:type="dxa"/>
            <w:vAlign w:val="bottom"/>
            <w:shd w:val="clear" w:color="auto" w:fill="CCEEFF"/>
          </w:tcPr>
          <w:p>
            <w:pPr>
              <w:spacing w:after="0"/>
              <w:rPr>
                <w:sz w:val="16"/>
                <w:szCs w:val="16"/>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 of gross room sales and 3% of gross food and beverage sales</w:t>
            </w:r>
          </w:p>
        </w:tc>
        <w:tc>
          <w:tcPr>
            <w:tcW w:w="0" w:type="dxa"/>
            <w:vAlign w:val="bottom"/>
          </w:tcPr>
          <w:p>
            <w:pPr>
              <w:spacing w:after="0"/>
              <w:rPr>
                <w:sz w:val="1"/>
                <w:szCs w:val="1"/>
                <w:color w:val="auto"/>
              </w:rPr>
            </w:pPr>
          </w:p>
        </w:tc>
      </w:tr>
      <w:tr>
        <w:trPr>
          <w:trHeight w:val="29"/>
        </w:trPr>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60" w:lineRule="exact"/>
        <w:rPr>
          <w:sz w:val="20"/>
          <w:szCs w:val="20"/>
          <w:color w:val="auto"/>
        </w:rPr>
      </w:pPr>
    </w:p>
    <w:p>
      <w:pPr>
        <w:ind w:left="640" w:hanging="314"/>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franchise agreement may be terminated at Marriott's option after September 2040.</w:t>
      </w:r>
    </w:p>
    <w:p>
      <w:pPr>
        <w:spacing w:after="0" w:line="65"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2026, the franchise fee will increase to 5.5% of gross room sales through the remainder of the term.</w:t>
      </w:r>
    </w:p>
    <w:p>
      <w:pPr>
        <w:spacing w:after="0" w:line="52"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2028, the franchise fees will increase to 5% through the remainder of the term.</w:t>
      </w:r>
    </w:p>
    <w:p>
      <w:pPr>
        <w:spacing w:after="0" w:line="65"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2030, the franchise fees will decrease to 5% of gross room sales and 2% of gross food and beverage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ind w:left="640" w:right="200" w:hanging="314"/>
        <w:spacing w:after="0" w:line="293" w:lineRule="auto"/>
        <w:tabs>
          <w:tab w:leader="none" w:pos="6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additional franchise fee applies equal to (i) 12.5% of gross revenues in excess of $24.0 million but not exceeding $28.0 million, and (ii) 15.0% of gross revenues in excess of $28.0 million.</w:t>
      </w:r>
    </w:p>
    <w:p>
      <w:pPr>
        <w:spacing w:after="0" w:line="6"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2026, the franchise fees will increase to 7% of gross room sales and 3% of gross food and beverage sales through the remainder of the term.</w:t>
      </w:r>
    </w:p>
    <w:p>
      <w:pPr>
        <w:spacing w:after="0" w:line="296" w:lineRule="exact"/>
        <w:rPr>
          <w:sz w:val="20"/>
          <w:szCs w:val="20"/>
          <w:color w:val="auto"/>
        </w:rPr>
      </w:pPr>
    </w:p>
    <w:p>
      <w:pPr>
        <w:ind w:firstLine="400"/>
        <w:spacing w:after="0" w:line="276" w:lineRule="auto"/>
        <w:rPr>
          <w:sz w:val="20"/>
          <w:szCs w:val="20"/>
          <w:color w:val="auto"/>
        </w:rPr>
      </w:pPr>
      <w:r>
        <w:rPr>
          <w:rFonts w:ascii="Times New Roman" w:cs="Times New Roman" w:eastAsia="Times New Roman" w:hAnsi="Times New Roman"/>
          <w:sz w:val="18"/>
          <w:szCs w:val="18"/>
          <w:color w:val="auto"/>
        </w:rPr>
        <w:t>Additional information regarding fees incurred under franchise agreements can be found in Note 13 to our accompanying consolidated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Ground Leases</w:t>
      </w:r>
    </w:p>
    <w:p>
      <w:pPr>
        <w:spacing w:after="0" w:line="248" w:lineRule="exact"/>
        <w:rPr>
          <w:sz w:val="20"/>
          <w:szCs w:val="20"/>
          <w:color w:val="auto"/>
        </w:rPr>
      </w:pPr>
    </w:p>
    <w:p>
      <w:pPr>
        <w:ind w:firstLine="400"/>
        <w:spacing w:after="0" w:line="276" w:lineRule="auto"/>
        <w:rPr>
          <w:sz w:val="20"/>
          <w:szCs w:val="20"/>
          <w:color w:val="auto"/>
        </w:rPr>
      </w:pPr>
      <w:r>
        <w:rPr>
          <w:rFonts w:ascii="Times New Roman" w:cs="Times New Roman" w:eastAsia="Times New Roman" w:hAnsi="Times New Roman"/>
          <w:sz w:val="18"/>
          <w:szCs w:val="18"/>
          <w:color w:val="auto"/>
        </w:rPr>
        <w:t>Eight of our hotels and one parking area are subject to ground lease agreements. Additional information regarding our hotels that are subject to ground leases can be found in Note 8 to our accompanying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0"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7"/>
          <w:szCs w:val="17"/>
          <w:color w:val="auto"/>
        </w:rPr>
        <w:t>We are subject to various claims, lawsuits and legal proceedings, including routine litigation arising in the ordinary course of business, regarding the operation of our hotels and Company matters. While it is not possible to ascertain the ultimate outcome of such matters, management believes that the aggregate amount of such liabilities, if any, in excess of amounts covered by insurance, will not have a material adverse impact on our financial condition or results of operations. The outcome of claims, lawsuits and legal proceedings brought against the Company, however, is subject to significant uncertainties.</w:t>
      </w:r>
    </w:p>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4" w:lineRule="exact"/>
        <w:rPr>
          <w:sz w:val="20"/>
          <w:szCs w:val="20"/>
          <w:color w:val="auto"/>
        </w:rPr>
      </w:pPr>
    </w:p>
    <w:p>
      <w:pPr>
        <w:ind w:right="2380"/>
        <w:spacing w:after="0" w:line="527"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common stock trades on the Nasdaq under the symbol “DRH”. The closing price of our common stock on December 31, 2025 was $8.96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48"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The following graph compares the five-year cumulative total stockholder return on our common stock against the cumulative total returns of the Standard &amp; Poor's 500 Index (the “</w:t>
      </w:r>
      <w:r>
        <w:rPr>
          <w:rFonts w:ascii="Times New Roman" w:cs="Times New Roman" w:eastAsia="Times New Roman" w:hAnsi="Times New Roman"/>
          <w:sz w:val="18"/>
          <w:szCs w:val="18"/>
          <w:b w:val="1"/>
          <w:bCs w:val="1"/>
          <w:i w:val="1"/>
          <w:iCs w:val="1"/>
          <w:color w:val="auto"/>
        </w:rPr>
        <w:t>S&amp;P 500</w:t>
      </w:r>
      <w:r>
        <w:rPr>
          <w:rFonts w:ascii="Times New Roman" w:cs="Times New Roman" w:eastAsia="Times New Roman" w:hAnsi="Times New Roman"/>
          <w:sz w:val="18"/>
          <w:szCs w:val="18"/>
          <w:color w:val="auto"/>
        </w:rPr>
        <w:t>”) and the FTSE Nareit Equity Lodging/Resorts Index (the “</w:t>
      </w:r>
      <w:r>
        <w:rPr>
          <w:rFonts w:ascii="Times New Roman" w:cs="Times New Roman" w:eastAsia="Times New Roman" w:hAnsi="Times New Roman"/>
          <w:sz w:val="18"/>
          <w:szCs w:val="18"/>
          <w:b w:val="1"/>
          <w:bCs w:val="1"/>
          <w:i w:val="1"/>
          <w:iCs w:val="1"/>
          <w:color w:val="auto"/>
        </w:rPr>
        <w:t>Nareit Lodging Index</w:t>
      </w:r>
      <w:r>
        <w:rPr>
          <w:rFonts w:ascii="Times New Roman" w:cs="Times New Roman" w:eastAsia="Times New Roman" w:hAnsi="Times New Roman"/>
          <w:sz w:val="18"/>
          <w:szCs w:val="18"/>
          <w:color w:val="auto"/>
        </w:rPr>
        <w:t>”). We believe the Nareit Lodging Index's total return provides a relevant industry sector comparison to our common stock's total stockholder return given the index is based on REITs that primarily invest in lodging real estate.</w:t>
      </w:r>
    </w:p>
    <w:p>
      <w:pPr>
        <w:spacing w:after="0" w:line="206"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graph assumes an initial investment on December 31, 2020 of $100 in our common stock in each of the indices and also assumes the reinvestment of dividends. The total return values do not include dividends declared, but not paid,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132715</wp:posOffset>
            </wp:positionV>
            <wp:extent cx="5517515" cy="2809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7515" cy="280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40"/>
        </w:trPr>
        <w:tc>
          <w:tcPr>
            <w:tcW w:w="5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Hospitality Company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w:t>
            </w:r>
          </w:p>
        </w:tc>
      </w:tr>
      <w:tr>
        <w:trPr>
          <w:trHeight w:val="227"/>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r>
      <w:tr>
        <w:trPr>
          <w:trHeight w:val="227"/>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Nareit Lodging Index</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w:t>
            </w:r>
          </w:p>
        </w:tc>
      </w:tr>
    </w:tbl>
    <w:p>
      <w:pPr>
        <w:spacing w:after="0" w:line="275"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of 1934, as amended, or incorporated by reference into any filing by us under the Securities Act of 1933, as amended (the “Securities Act”), except as shall be expressly set forth by specific reference in such filing.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Information</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order to maintain our qualification as a REIT, we are required to distribute to our stockholders each year at least: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ind w:left="640" w:hanging="314"/>
        <w:spacing w:after="0" w:line="276"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REIT taxable income, determined before the deduction for dividends paid and excluding any net capital gain (which does not necessarily equal net income as calculated in accordance with U.S. generally accepted accounting principles ("U.S. GAAP")); plus</w:t>
      </w:r>
    </w:p>
    <w:p>
      <w:pPr>
        <w:spacing w:after="0" w:line="190"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the excess of our net income from foreclosure property over the tax imposed on such income by the Code; less</w:t>
      </w:r>
    </w:p>
    <w:p>
      <w:pPr>
        <w:spacing w:after="0" w:line="24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non-cash income (as determined under the Code).</w:t>
      </w:r>
    </w:p>
    <w:p>
      <w:pPr>
        <w:spacing w:after="0" w:line="246"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generally pay quarterly cash dividends to common stockholders at the discretion of our board of directors. The timing and frequency of future dividends will be determined by our board of directors after considering a variety of factors, including our financial performance, restrictions under applicable law and our current and future loan agreements, our debt service requirements, our capital expenditure requirements, the requirements for qualification as a REIT under the Code and other factors that our board of directors may deem relevant from time to time.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Information</w:t>
      </w:r>
    </w:p>
    <w:p>
      <w:pPr>
        <w:spacing w:after="0" w:line="248"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As of February 25, 2026, there were 17 record holders of our common stock and we believe we have more than one thousand beneficial holders. As of February 25, 2026, there were 14 holders of common OP units (in addition to the Company and executive officers of the Company).</w:t>
      </w:r>
    </w:p>
    <w:p>
      <w:pPr>
        <w:spacing w:after="0" w:line="190"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In order to comply with certain requirements related to our qualification as a REIT, our charter, subject to certain exceptions, limits the number of common shares that may be owned by any single person or affiliated group to 9.8% of the outstanding common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8" w:lineRule="exact"/>
        <w:rPr>
          <w:sz w:val="20"/>
          <w:szCs w:val="20"/>
          <w:color w:val="auto"/>
        </w:rPr>
      </w:pPr>
    </w:p>
    <w:p>
      <w:pPr>
        <w:ind w:right="160" w:firstLine="400"/>
        <w:spacing w:after="0" w:line="27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regarding shares of common stock that may be issued under the Company’s equity compensation plans.</w:t>
      </w:r>
    </w:p>
    <w:p>
      <w:pPr>
        <w:sectPr>
          <w:pgSz w:w="11900" w:h="16838" w:orient="portrait"/>
          <w:cols w:equalWidth="0" w:num="1">
            <w:col w:w="11240"/>
          </w:cols>
          <w:pgMar w:left="320" w:top="3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31750</wp:posOffset>
            </wp:positionV>
            <wp:extent cx="22256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5675" cy="8255"/>
                    </a:xfrm>
                    <a:prstGeom prst="rect">
                      <a:avLst/>
                    </a:prstGeom>
                    <a:noFill/>
                  </pic:spPr>
                </pic:pic>
              </a:graphicData>
            </a:graphic>
          </wp:anchor>
        </w:drawing>
      </w:r>
    </w:p>
    <w:p>
      <w:pPr>
        <w:spacing w:after="0" w:line="238" w:lineRule="exact"/>
        <w:rPr>
          <w:sz w:val="20"/>
          <w:szCs w:val="20"/>
          <w:color w:val="auto"/>
        </w:rPr>
      </w:pPr>
    </w:p>
    <w:p>
      <w:pPr>
        <w:ind w:left="560"/>
        <w:spacing w:after="0" w:line="235"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8" w:lineRule="exact"/>
        <w:rPr>
          <w:sz w:val="20"/>
          <w:szCs w:val="20"/>
          <w:color w:val="auto"/>
        </w:rPr>
      </w:pPr>
    </w:p>
    <w:p>
      <w:pPr>
        <w:ind w:left="560" w:right="320"/>
        <w:spacing w:after="0" w:line="235"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33"/>
        </w:trPr>
        <w:tc>
          <w:tcPr>
            <w:tcW w:w="2000" w:type="dxa"/>
            <w:vAlign w:val="bottom"/>
            <w:gridSpan w:val="2"/>
            <w:vMerge w:val="continue"/>
          </w:tcPr>
          <w:p>
            <w:pPr>
              <w:spacing w:after="0"/>
              <w:rPr>
                <w:sz w:val="11"/>
                <w:szCs w:val="11"/>
                <w:color w:val="auto"/>
              </w:rPr>
            </w:pPr>
          </w:p>
        </w:tc>
        <w:tc>
          <w:tcPr>
            <w:tcW w:w="2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23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7"/>
        </w:trPr>
        <w:tc>
          <w:tcPr>
            <w:tcW w:w="200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260" w:type="dxa"/>
            <w:vAlign w:val="bottom"/>
            <w:gridSpan w:val="2"/>
            <w:vMerge w:val="continue"/>
          </w:tcPr>
          <w:p>
            <w:pPr>
              <w:spacing w:after="0"/>
              <w:rPr>
                <w:sz w:val="12"/>
                <w:szCs w:val="12"/>
                <w:color w:val="auto"/>
              </w:rPr>
            </w:pPr>
          </w:p>
        </w:tc>
        <w:tc>
          <w:tcPr>
            <w:tcW w:w="23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7"/>
        </w:trPr>
        <w:tc>
          <w:tcPr>
            <w:tcW w:w="20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6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3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93"/>
        </w:trPr>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87"/>
        </w:trPr>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6"/>
                <w:szCs w:val="16"/>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80" w:type="dxa"/>
            <w:vAlign w:val="bottom"/>
          </w:tcPr>
          <w:p>
            <w:pPr>
              <w:spacing w:after="0"/>
              <w:rPr>
                <w:sz w:val="16"/>
                <w:szCs w:val="16"/>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495"/>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 xml:space="preserve">2,003,836 </w:t>
            </w:r>
            <w:r>
              <w:rPr>
                <w:rFonts w:ascii="Times New Roman" w:cs="Times New Roman" w:eastAsia="Times New Roman" w:hAnsi="Times New Roman"/>
                <w:sz w:val="23"/>
                <w:szCs w:val="23"/>
                <w:color w:val="auto"/>
                <w:w w:val="93"/>
                <w:vertAlign w:val="superscript"/>
              </w:rPr>
              <w:t>(1)</w:t>
            </w:r>
          </w:p>
        </w:tc>
        <w:tc>
          <w:tcPr>
            <w:tcW w:w="160" w:type="dxa"/>
            <w:vAlign w:val="bottom"/>
          </w:tcPr>
          <w:p>
            <w:pPr>
              <w:spacing w:after="0"/>
              <w:rPr>
                <w:sz w:val="24"/>
                <w:szCs w:val="24"/>
                <w:color w:val="auto"/>
              </w:rPr>
            </w:pPr>
          </w:p>
        </w:tc>
        <w:tc>
          <w:tcPr>
            <w:tcW w:w="2260" w:type="dxa"/>
            <w:vAlign w:val="bottom"/>
            <w:gridSpan w:val="2"/>
          </w:tcPr>
          <w:p>
            <w:pPr>
              <w:ind w:left="9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 xml:space="preserve"> (2)</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5,386,647</w:t>
            </w:r>
          </w:p>
        </w:tc>
        <w:tc>
          <w:tcPr>
            <w:tcW w:w="0" w:type="dxa"/>
            <w:vAlign w:val="bottom"/>
          </w:tcPr>
          <w:p>
            <w:pPr>
              <w:spacing w:after="0"/>
              <w:rPr>
                <w:sz w:val="1"/>
                <w:szCs w:val="1"/>
                <w:color w:val="auto"/>
              </w:rPr>
            </w:pPr>
          </w:p>
        </w:tc>
      </w:tr>
      <w:tr>
        <w:trPr>
          <w:trHeight w:val="345"/>
        </w:trPr>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0"/>
        </w:trPr>
        <w:tc>
          <w:tcPr>
            <w:tcW w:w="1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2,003,836</w:t>
            </w:r>
          </w:p>
        </w:tc>
        <w:tc>
          <w:tcPr>
            <w:tcW w:w="160" w:type="dxa"/>
            <w:vAlign w:val="bottom"/>
          </w:tcPr>
          <w:p>
            <w:pPr>
              <w:spacing w:after="0"/>
              <w:rPr>
                <w:sz w:val="19"/>
                <w:szCs w:val="19"/>
                <w:color w:val="auto"/>
              </w:rPr>
            </w:pPr>
          </w:p>
        </w:tc>
        <w:tc>
          <w:tcPr>
            <w:tcW w:w="2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2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5,386,647</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-2298065</wp:posOffset>
            </wp:positionH>
            <wp:positionV relativeFrom="paragraph">
              <wp:posOffset>-709930</wp:posOffset>
            </wp:positionV>
            <wp:extent cx="6465570" cy="262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65570" cy="262255"/>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-185420</wp:posOffset>
            </wp:positionV>
            <wp:extent cx="6465570" cy="169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65570" cy="169545"/>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4000" w:space="160"/>
            <w:col w:w="7080"/>
          </w:cols>
          <w:pgMar w:left="320" w:top="359" w:right="339" w:bottom="1440" w:gutter="0" w:footer="0" w:header="0"/>
          <w:type w:val="continuous"/>
        </w:sectPr>
      </w:pPr>
    </w:p>
    <w:p>
      <w:pPr>
        <w:ind w:left="640" w:right="820" w:hanging="314"/>
        <w:spacing w:after="0" w:line="275" w:lineRule="auto"/>
        <w:tabs>
          <w:tab w:leader="none" w:pos="66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536,425 shares of common stock issuable pursuant to our deferred compensation plan and 1,467,411 shares of common stock issuable upon the achievement of certain performance conditions. Does not include 841,105 shares of unvested restricted stock.</w:t>
      </w:r>
    </w:p>
    <w:p>
      <w:pPr>
        <w:spacing w:after="0" w:line="4" w:lineRule="exact"/>
        <w:rPr>
          <w:rFonts w:ascii="Times New Roman" w:cs="Times New Roman" w:eastAsia="Times New Roman" w:hAnsi="Times New Roman"/>
          <w:sz w:val="16"/>
          <w:szCs w:val="16"/>
          <w:color w:val="auto"/>
        </w:rPr>
      </w:pPr>
    </w:p>
    <w:p>
      <w:pPr>
        <w:ind w:left="680" w:hanging="354"/>
        <w:spacing w:after="0"/>
        <w:tabs>
          <w:tab w:leader="none" w:pos="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stock units and deferred stock units do not have any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Repurchases of Equity Securities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89"/>
              </w:rPr>
              <w:t>(c)</w:t>
            </w:r>
          </w:p>
        </w:tc>
        <w:tc>
          <w:tcPr>
            <w:tcW w:w="140" w:type="dxa"/>
            <w:vAlign w:val="bottom"/>
          </w:tcPr>
          <w:p>
            <w:pPr>
              <w:spacing w:after="0"/>
              <w:rPr>
                <w:sz w:val="15"/>
                <w:szCs w:val="15"/>
                <w:color w:val="auto"/>
              </w:rPr>
            </w:pPr>
          </w:p>
        </w:tc>
        <w:tc>
          <w:tcPr>
            <w:tcW w:w="1700" w:type="dxa"/>
            <w:vAlign w:val="bottom"/>
          </w:tcPr>
          <w:p>
            <w:pPr>
              <w:jc w:val="center"/>
              <w:ind w:right="51"/>
              <w:spacing w:after="0" w:line="180"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jc w:val="center"/>
              <w:ind w:right="51"/>
              <w:spacing w:after="0" w:line="181" w:lineRule="exact"/>
              <w:rPr>
                <w:sz w:val="20"/>
                <w:szCs w:val="20"/>
                <w:color w:val="auto"/>
              </w:rPr>
            </w:pPr>
            <w:r>
              <w:rPr>
                <w:rFonts w:ascii="Times New Roman" w:cs="Times New Roman" w:eastAsia="Times New Roman" w:hAnsi="Times New Roman"/>
                <w:sz w:val="18"/>
                <w:szCs w:val="18"/>
                <w:b w:val="1"/>
                <w:bCs w:val="1"/>
                <w:color w:val="auto"/>
                <w:w w:val="97"/>
              </w:rPr>
              <w:t>Approximate Dollar</w:t>
            </w: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40" w:type="dxa"/>
            <w:vAlign w:val="bottom"/>
          </w:tcPr>
          <w:p>
            <w:pPr>
              <w:spacing w:after="0"/>
              <w:rPr>
                <w:sz w:val="15"/>
                <w:szCs w:val="15"/>
                <w:color w:val="auto"/>
              </w:rPr>
            </w:pPr>
          </w:p>
        </w:tc>
        <w:tc>
          <w:tcPr>
            <w:tcW w:w="1700" w:type="dxa"/>
            <w:vAlign w:val="bottom"/>
          </w:tcPr>
          <w:p>
            <w:pPr>
              <w:jc w:val="center"/>
              <w:ind w:right="51"/>
              <w:spacing w:after="0" w:line="173" w:lineRule="exact"/>
              <w:rPr>
                <w:sz w:val="20"/>
                <w:szCs w:val="20"/>
                <w:color w:val="auto"/>
              </w:rPr>
            </w:pPr>
            <w:r>
              <w:rPr>
                <w:rFonts w:ascii="Times New Roman" w:cs="Times New Roman" w:eastAsia="Times New Roman" w:hAnsi="Times New Roman"/>
                <w:sz w:val="18"/>
                <w:szCs w:val="18"/>
                <w:b w:val="1"/>
                <w:bCs w:val="1"/>
                <w:color w:val="auto"/>
                <w:w w:val="97"/>
              </w:rPr>
              <w:t>Value of Shares that</w:t>
            </w: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 w:type="dxa"/>
            <w:vAlign w:val="bottom"/>
          </w:tcPr>
          <w:p>
            <w:pPr>
              <w:spacing w:after="0"/>
              <w:rPr>
                <w:sz w:val="16"/>
                <w:szCs w:val="16"/>
                <w:color w:val="auto"/>
              </w:rPr>
            </w:pPr>
          </w:p>
        </w:tc>
        <w:tc>
          <w:tcPr>
            <w:tcW w:w="1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92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b w:val="1"/>
                <w:bCs w:val="1"/>
                <w:color w:val="auto"/>
                <w:w w:val="97"/>
              </w:rPr>
              <w:t>Shares Purchased as</w:t>
            </w:r>
          </w:p>
        </w:tc>
        <w:tc>
          <w:tcPr>
            <w:tcW w:w="1840" w:type="dxa"/>
            <w:vAlign w:val="bottom"/>
            <w:gridSpan w:val="2"/>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May Yet be Purchased</w:t>
            </w: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92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7"/>
              </w:rPr>
              <w:t>Part of Publicly</w:t>
            </w:r>
          </w:p>
        </w:tc>
        <w:tc>
          <w:tcPr>
            <w:tcW w:w="140" w:type="dxa"/>
            <w:vAlign w:val="bottom"/>
          </w:tcPr>
          <w:p>
            <w:pPr>
              <w:spacing w:after="0"/>
              <w:rPr>
                <w:sz w:val="15"/>
                <w:szCs w:val="15"/>
                <w:color w:val="auto"/>
              </w:rPr>
            </w:pPr>
          </w:p>
        </w:tc>
        <w:tc>
          <w:tcPr>
            <w:tcW w:w="1700" w:type="dxa"/>
            <w:vAlign w:val="bottom"/>
          </w:tcPr>
          <w:p>
            <w:pPr>
              <w:jc w:val="center"/>
              <w:ind w:right="51"/>
              <w:spacing w:after="0" w:line="173" w:lineRule="exact"/>
              <w:rPr>
                <w:sz w:val="20"/>
                <w:szCs w:val="20"/>
                <w:color w:val="auto"/>
              </w:rPr>
            </w:pPr>
            <w:r>
              <w:rPr>
                <w:rFonts w:ascii="Times New Roman" w:cs="Times New Roman" w:eastAsia="Times New Roman" w:hAnsi="Times New Roman"/>
                <w:sz w:val="18"/>
                <w:szCs w:val="18"/>
                <w:b w:val="1"/>
                <w:bCs w:val="1"/>
                <w:color w:val="auto"/>
                <w:w w:val="98"/>
              </w:rPr>
              <w:t>Under the Plans or</w:t>
            </w:r>
          </w:p>
        </w:tc>
        <w:tc>
          <w:tcPr>
            <w:tcW w:w="0" w:type="dxa"/>
            <w:vAlign w:val="bottom"/>
          </w:tcPr>
          <w:p>
            <w:pPr>
              <w:spacing w:after="0"/>
              <w:rPr>
                <w:sz w:val="1"/>
                <w:szCs w:val="1"/>
                <w:color w:val="auto"/>
              </w:rPr>
            </w:pPr>
          </w:p>
        </w:tc>
      </w:tr>
      <w:tr>
        <w:trPr>
          <w:trHeight w:val="173"/>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5"/>
                <w:szCs w:val="15"/>
                <w:color w:val="auto"/>
              </w:rPr>
            </w:pPr>
          </w:p>
        </w:tc>
        <w:tc>
          <w:tcPr>
            <w:tcW w:w="170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92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8"/>
              </w:rPr>
              <w:t>Announced Plans or</w:t>
            </w:r>
          </w:p>
        </w:tc>
        <w:tc>
          <w:tcPr>
            <w:tcW w:w="140" w:type="dxa"/>
            <w:vAlign w:val="bottom"/>
          </w:tcPr>
          <w:p>
            <w:pPr>
              <w:spacing w:after="0"/>
              <w:rPr>
                <w:sz w:val="15"/>
                <w:szCs w:val="15"/>
                <w:color w:val="auto"/>
              </w:rPr>
            </w:pPr>
          </w:p>
        </w:tc>
        <w:tc>
          <w:tcPr>
            <w:tcW w:w="1700" w:type="dxa"/>
            <w:vAlign w:val="bottom"/>
          </w:tcPr>
          <w:p>
            <w:pPr>
              <w:jc w:val="center"/>
              <w:ind w:right="51"/>
              <w:spacing w:after="0" w:line="173" w:lineRule="exact"/>
              <w:rPr>
                <w:sz w:val="20"/>
                <w:szCs w:val="20"/>
                <w:color w:val="auto"/>
              </w:rPr>
            </w:pPr>
            <w:r>
              <w:rPr>
                <w:rFonts w:ascii="Times New Roman" w:cs="Times New Roman" w:eastAsia="Times New Roman" w:hAnsi="Times New Roman"/>
                <w:sz w:val="18"/>
                <w:szCs w:val="18"/>
                <w:b w:val="1"/>
                <w:bCs w:val="1"/>
                <w:color w:val="auto"/>
                <w:w w:val="98"/>
              </w:rPr>
              <w:t>Programs (in</w:t>
            </w:r>
          </w:p>
        </w:tc>
        <w:tc>
          <w:tcPr>
            <w:tcW w:w="0" w:type="dxa"/>
            <w:vAlign w:val="bottom"/>
          </w:tcPr>
          <w:p>
            <w:pPr>
              <w:spacing w:after="0"/>
              <w:rPr>
                <w:sz w:val="1"/>
                <w:szCs w:val="1"/>
                <w:color w:val="auto"/>
              </w:rPr>
            </w:pPr>
          </w:p>
        </w:tc>
      </w:tr>
      <w:tr>
        <w:trPr>
          <w:trHeight w:val="240"/>
        </w:trPr>
        <w:tc>
          <w:tcPr>
            <w:tcW w:w="3240" w:type="dxa"/>
            <w:vAlign w:val="bottom"/>
            <w:gridSpan w:val="2"/>
            <w:vMerge w:val="continue"/>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40" w:type="dxa"/>
            <w:vAlign w:val="bottom"/>
          </w:tcPr>
          <w:p>
            <w:pPr>
              <w:spacing w:after="0"/>
              <w:rPr>
                <w:sz w:val="20"/>
                <w:szCs w:val="20"/>
                <w:color w:val="auto"/>
              </w:rPr>
            </w:pPr>
          </w:p>
        </w:tc>
        <w:tc>
          <w:tcPr>
            <w:tcW w:w="1700" w:type="dxa"/>
            <w:vAlign w:val="bottom"/>
          </w:tcPr>
          <w:p>
            <w:pPr>
              <w:jc w:val="center"/>
              <w:ind w:right="51"/>
              <w:spacing w:after="0" w:line="240" w:lineRule="exact"/>
              <w:rPr>
                <w:sz w:val="20"/>
                <w:szCs w:val="20"/>
                <w:color w:val="auto"/>
              </w:rPr>
            </w:pPr>
            <w:r>
              <w:rPr>
                <w:rFonts w:ascii="Times New Roman" w:cs="Times New Roman" w:eastAsia="Times New Roman" w:hAnsi="Times New Roman"/>
                <w:sz w:val="18"/>
                <w:szCs w:val="18"/>
                <w:b w:val="1"/>
                <w:bCs w:val="1"/>
                <w:color w:val="auto"/>
                <w:w w:val="93"/>
              </w:rPr>
              <w:t xml:space="preserve">thousands) </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20"/>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 2025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136,975</w:t>
            </w:r>
          </w:p>
        </w:tc>
        <w:tc>
          <w:tcPr>
            <w:tcW w:w="0" w:type="dxa"/>
            <w:vAlign w:val="bottom"/>
          </w:tcPr>
          <w:p>
            <w:pPr>
              <w:spacing w:after="0"/>
              <w:rPr>
                <w:sz w:val="1"/>
                <w:szCs w:val="1"/>
                <w:color w:val="auto"/>
              </w:rPr>
            </w:pPr>
          </w:p>
        </w:tc>
      </w:tr>
      <w:tr>
        <w:trPr>
          <w:trHeight w:val="22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November 30, 2025</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136,975</w:t>
            </w:r>
          </w:p>
        </w:tc>
        <w:tc>
          <w:tcPr>
            <w:tcW w:w="0" w:type="dxa"/>
            <w:vAlign w:val="bottom"/>
          </w:tcPr>
          <w:p>
            <w:pPr>
              <w:spacing w:after="0"/>
              <w:rPr>
                <w:sz w:val="1"/>
                <w:szCs w:val="1"/>
                <w:color w:val="auto"/>
              </w:rPr>
            </w:pPr>
          </w:p>
        </w:tc>
      </w:tr>
      <w:tr>
        <w:trPr>
          <w:trHeight w:val="22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 2025</w:t>
            </w: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______________</w:t>
      </w:r>
    </w:p>
    <w:p>
      <w:pPr>
        <w:spacing w:after="0" w:line="47" w:lineRule="exact"/>
        <w:rPr>
          <w:sz w:val="20"/>
          <w:szCs w:val="20"/>
          <w:color w:val="auto"/>
        </w:rPr>
      </w:pPr>
    </w:p>
    <w:p>
      <w:pPr>
        <w:jc w:val="both"/>
        <w:ind w:left="1280" w:hanging="314"/>
        <w:spacing w:after="0" w:line="275" w:lineRule="auto"/>
        <w:tabs>
          <w:tab w:leader="none" w:pos="127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 2024, our board of directors approved a $200.0 million share repurchase program. The share repurchase program expires on May 1, 2026. The share repurchase program does not obligate the Company to acquire any particular amount of shares, and the share repurchase program may be suspended or discontinued at any time at the Company's discretion.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Sales of Unregistered Securities</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related notes thereto included elsewhere in this report. This discussion contains forward-looking statements about our business. These statements are based on current expectations and assumptions that are subject to risks and uncertainties. Actual results could differ materially because of factors discussed in "Special Note About Forward-Looking Statements" and "Risk Factors" contained in this Annual Report on Form 10-K and in our other reports that we file from time to time with the SEC.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8" w:lineRule="exact"/>
        <w:rPr>
          <w:sz w:val="20"/>
          <w:szCs w:val="20"/>
          <w:color w:val="auto"/>
        </w:rPr>
      </w:pPr>
    </w:p>
    <w:p>
      <w:pPr>
        <w:jc w:val="both"/>
        <w:ind w:firstLine="440"/>
        <w:spacing w:after="0" w:line="249" w:lineRule="auto"/>
        <w:rPr>
          <w:sz w:val="20"/>
          <w:szCs w:val="20"/>
          <w:color w:val="auto"/>
        </w:rPr>
      </w:pPr>
      <w:r>
        <w:rPr>
          <w:rFonts w:ascii="Times New Roman" w:cs="Times New Roman" w:eastAsia="Times New Roman" w:hAnsi="Times New Roman"/>
          <w:sz w:val="18"/>
          <w:szCs w:val="18"/>
          <w:color w:val="auto"/>
        </w:rPr>
        <w:t>DiamondRock Hospitality Company (the “Company”, “we”, or "our") is a self-managed and self-administered lodging-focused real estate investment trust ("REIT") that owns a portfolio of premium hotels and resorts. As of December 31, 2025, we owned 35 hotels with 9,595 rooms located in 26 markets in the United States. The markets that we target for ownership are those that we believe align with our strategic objectives, which include those in destination markets with constrained supply trends, those that provide geographic diversity relative to our existing portfolio, and those we consider to have high demand growth potential. We are an owner, as opposed to an operator, of the hotels in our portfolio. As an owner, we receive all operating profits or losses generated by our hotels after we pay fees to the hotel managers, which are based on the revenues and profitability of the hotels, and the hotel brands, in certain cases, which are based on the revenues of the hotels. Each hotel is positioned to maximize its cash flow and value; accordingly, we choose to operate nearly 40% of our portfolio as an independent hotel and the remainder are operated under a brand owned by one of the leading global lodging brand companies (Marriott International, Hilton Worldwide, or IHG Hotels &amp; Resorts).</w:t>
      </w:r>
    </w:p>
    <w:p>
      <w:pPr>
        <w:spacing w:after="0" w:line="5" w:lineRule="exact"/>
        <w:rPr>
          <w:sz w:val="20"/>
          <w:szCs w:val="20"/>
          <w:color w:val="auto"/>
        </w:rPr>
      </w:pPr>
    </w:p>
    <w:p>
      <w:pPr>
        <w:jc w:val="both"/>
        <w:ind w:firstLine="440"/>
        <w:spacing w:after="0" w:line="249" w:lineRule="auto"/>
        <w:rPr>
          <w:sz w:val="20"/>
          <w:szCs w:val="20"/>
          <w:color w:val="auto"/>
        </w:rPr>
      </w:pPr>
      <w:r>
        <w:rPr>
          <w:rFonts w:ascii="Times New Roman" w:cs="Times New Roman" w:eastAsia="Times New Roman" w:hAnsi="Times New Roman"/>
          <w:sz w:val="18"/>
          <w:szCs w:val="18"/>
          <w:color w:val="auto"/>
        </w:rPr>
        <w:t>We are a REIT for U.S. federal income tax purposes. We conduct our business through a traditional umbrella partnership REIT, or UPREIT, in which our hotel properties are owned by our operating partnership, DiamondRock Hospitality Limited Partnership, or subsidiaries of our operating partnership. The Company is the sole general partner of our operating partnership and owns 99.5% of the limited partnership units (“common OP units”) of our operating partnership as of December 31, 2025. The remaining 0.5% of the common OP units are held by third parties and current and former executive officers of the Company. See Note 9 for additional disclosures related to common OP units.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Indicators of Financial Condition and Operating Performance</w:t>
      </w:r>
    </w:p>
    <w:p>
      <w:pPr>
        <w:spacing w:after="0" w:line="248"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We use a variety of operating and other information to evaluate the financial condition and operating performance of our business. These key indicators include financial information that is prepared in accordance with U.S. Generally Accepted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Accounting Principles (“U.S. GAAP”), as well as other financial information that is not prepared in accordance with U.S. GAAP. In addition, we use other information that may not be financial in nature, including statistical information and comparative data. We use this information to measure the performance of individual hotels, groups of hotels and/or our business as a whole. We periodically compare historical information to our internal budgets as well as industry-wide information. These key indicators include:</w:t>
      </w:r>
    </w:p>
    <w:p>
      <w:pPr>
        <w:spacing w:after="0" w:line="206" w:lineRule="exact"/>
        <w:rPr>
          <w:sz w:val="20"/>
          <w:szCs w:val="20"/>
          <w:color w:val="auto"/>
        </w:rPr>
      </w:pPr>
    </w:p>
    <w:p>
      <w:pPr>
        <w:ind w:left="720" w:hanging="31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percentage;</w:t>
      </w:r>
    </w:p>
    <w:p>
      <w:pPr>
        <w:spacing w:after="0" w:line="246"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w:t>
      </w:r>
    </w:p>
    <w:p>
      <w:pPr>
        <w:spacing w:after="0" w:line="246"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Rooms Revenue per Available Room (“RevPAR”);</w:t>
      </w:r>
    </w:p>
    <w:p>
      <w:pPr>
        <w:spacing w:after="0" w:line="25" w:lineRule="exact"/>
        <w:rPr>
          <w:rFonts w:ascii="Times New Roman" w:cs="Times New Roman" w:eastAsia="Times New Roman" w:hAnsi="Times New Roman"/>
          <w:sz w:val="18"/>
          <w:szCs w:val="18"/>
          <w:color w:val="auto"/>
        </w:rPr>
      </w:pPr>
    </w:p>
    <w:p>
      <w:pPr>
        <w:spacing w:after="0"/>
        <w:tabs>
          <w:tab w:leader="none" w:pos="0" w:val="left"/>
        </w:tabs>
        <w:numPr>
          <w:ilvl w:val="0"/>
          <w:numId w:val="26"/>
        </w:numPr>
        <w:rPr>
          <w:rFonts w:ascii="Times New Roman" w:cs="Times New Roman" w:eastAsia="Times New Roman" w:hAnsi="Times New Roman"/>
          <w:sz w:val="18"/>
          <w:szCs w:val="18"/>
          <w:color w:val="auto"/>
        </w:rPr>
      </w:pPr>
    </w:p>
    <w:p>
      <w:pPr>
        <w:spacing w:after="0" w:line="6"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w:t>
      </w:r>
    </w:p>
    <w:p>
      <w:pPr>
        <w:spacing w:after="0" w:line="227" w:lineRule="exact"/>
        <w:rPr>
          <w:rFonts w:ascii="Times New Roman" w:cs="Times New Roman" w:eastAsia="Times New Roman" w:hAnsi="Times New Roman"/>
          <w:sz w:val="18"/>
          <w:szCs w:val="18"/>
          <w:color w:val="auto"/>
        </w:rPr>
      </w:pPr>
    </w:p>
    <w:p>
      <w:pPr>
        <w:ind w:left="720" w:hanging="314"/>
        <w:spacing w:after="0" w:line="276" w:lineRule="auto"/>
        <w:tabs>
          <w:tab w:leader="none" w:pos="7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Income Taxes, Depreciation and Amortization (“EBITDA”), Earnings Before Interest,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Adjusted EBITDA, and Hotel Adjusted EBITDA; and</w:t>
      </w:r>
    </w:p>
    <w:p>
      <w:pPr>
        <w:spacing w:after="0" w:line="190"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and Adjusted FFO.</w:t>
      </w:r>
    </w:p>
    <w:p>
      <w:pPr>
        <w:spacing w:after="0" w:line="246"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Occupancy, ADR, RevPAR, and Total RevPAR are commonly used measures within the hotel industry to evaluate operating performance. RevPAR, which is calculated as the product of ADR and occupancy percentage, and Total RevPAR, which is calculated as total revenues divided by room nights available, are important statistics for monitoring operating performance at the individual hotel level and across our portfolio. We evaluate individual hotel RevPAR and Total RevPAR performance on an absolute basis with comparisons to budget and prior periods, as well as on a company-wide and regional basis. Room revenue comprised approximately 65% of our total revenues for the year ended December 31, 2025 and is dictated by demand, as measured by occupancy percentage, pricing, as measured by ADR, and our available supply of hotel rooms.</w:t>
      </w:r>
    </w:p>
    <w:p>
      <w:pPr>
        <w:spacing w:after="0" w:line="210"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Our ADR, occupancy percentage, RevPAR, and Total RevPAR performance may be impacted by macroeconomic factors such as U.S. economic conditions generally, inflation, interest rates, tariffs, regional and local employment growth, personal income and corporate earnings, office vacancy rates and business relocation decisions, airport and other business and leisure travel, increased use of lodging alternatives, new hotel construction and the pricing strategies of our competitors. In addition, our ADR, occupancy percentage, RevPAR, and Total RevPAR performance is dependent on the continued success of our hotels' global brands and our hotel operators.</w:t>
      </w:r>
    </w:p>
    <w:p>
      <w:pPr>
        <w:spacing w:after="0" w:line="209" w:lineRule="exact"/>
        <w:rPr>
          <w:sz w:val="20"/>
          <w:szCs w:val="20"/>
          <w:color w:val="auto"/>
        </w:rPr>
      </w:pPr>
    </w:p>
    <w:p>
      <w:pPr>
        <w:jc w:val="both"/>
        <w:ind w:firstLine="440"/>
        <w:spacing w:after="0" w:line="278" w:lineRule="auto"/>
        <w:rPr>
          <w:sz w:val="20"/>
          <w:szCs w:val="20"/>
          <w:color w:val="auto"/>
        </w:rPr>
      </w:pPr>
      <w:r>
        <w:rPr>
          <w:rFonts w:ascii="Times New Roman" w:cs="Times New Roman" w:eastAsia="Times New Roman" w:hAnsi="Times New Roman"/>
          <w:sz w:val="18"/>
          <w:szCs w:val="18"/>
          <w:color w:val="auto"/>
        </w:rPr>
        <w:t>We also use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 Hotel Adjusted EBITDA, FFO and Adjusted FFO as measures of the financial performance of our business. See “Non-GAAP Financial Measures” for further discussion on these financial measures.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Hotels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operating information for the year ended December 31, 2025 for each of the hotels we owned during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5"/>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21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40" w:type="dxa"/>
            <w:vAlign w:val="bottom"/>
            <w:gridSpan w:val="2"/>
            <w:vMerge w:val="continue"/>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Occupancy (%)</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ADR ($)</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RevPAR($)</w:t>
            </w: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from 2024 Total</w:t>
            </w:r>
          </w:p>
        </w:tc>
        <w:tc>
          <w:tcPr>
            <w:tcW w:w="0" w:type="dxa"/>
            <w:vAlign w:val="bottom"/>
          </w:tcPr>
          <w:p>
            <w:pPr>
              <w:spacing w:after="0"/>
              <w:rPr>
                <w:sz w:val="1"/>
                <w:szCs w:val="1"/>
                <w:color w:val="auto"/>
              </w:rPr>
            </w:pPr>
          </w:p>
        </w:tc>
      </w:tr>
      <w:tr>
        <w:trPr>
          <w:trHeight w:val="194"/>
        </w:trPr>
        <w:tc>
          <w:tcPr>
            <w:tcW w:w="358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1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RevPAR ($)</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RevPAR</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Chicago Marriott Downtown Magnificent Mile</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Chicago, Illinois</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63.2 %</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262.61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276.52</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Westin Boston Seaport District</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Boston, Massachusetts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347.67</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Salt Lake City Marriott Downtown at City Creek</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Salt Lake City, Utah</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Worthington Renaissance Fort Worth Hotel</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Fort Worth, Texas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271.37</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Westin San Diego Bayview</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Diego, California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Westin Fort Lauderdale Beach Resort</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Fort Lauderdale, Florida</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410.86</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Westin Washington D.C. City Center </w:t>
            </w:r>
            <w:r>
              <w:rPr>
                <w:rFonts w:ascii="Times New Roman" w:cs="Times New Roman" w:eastAsia="Times New Roman" w:hAnsi="Times New Roman"/>
                <w:sz w:val="18"/>
                <w:szCs w:val="18"/>
                <w:color w:val="auto"/>
                <w:vertAlign w:val="superscript"/>
              </w:rPr>
              <w:t>(1)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 D.C.</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Dagny Boston</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Boston, Massachusetts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Hythe Vail</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Vail, Colorado</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Courtyard New York Manhattan/Midtown East</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York, New York</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Atlanta Marriott Alpharetta</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Atlanta, Georgia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Gwen</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Chicago, Illinois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351.57</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Hilton Garden Inn New York/Times Square Central</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 New York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Embassy Suites by Hilton Bethesda</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Bethesda, Maryland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128.26</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 Champlain Burlington</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Burlington, Vermont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Henderson Beach Resort</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Destin, Florida</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AC Hotel Minneapolis Downtown </w:t>
            </w:r>
            <w:r>
              <w:rPr>
                <w:rFonts w:ascii="Times New Roman" w:cs="Times New Roman" w:eastAsia="Times New Roman" w:hAnsi="Times New Roman"/>
                <w:sz w:val="18"/>
                <w:szCs w:val="18"/>
                <w:color w:val="auto"/>
                <w:vertAlign w:val="superscript"/>
              </w:rPr>
              <w:t>(2)</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Minneapolis, Minnesota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Kimpton Hotel Palomar Phoenix</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Phoenix, Arizona</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Bourbon Orleans Hotel</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Orleans, Louisiana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 Clio</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Denver, Colorado</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Courtyard New York Manhattan/Fifth Avenue</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 New York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0" w:type="dxa"/>
            <w:vAlign w:val="bottom"/>
          </w:tcPr>
          <w:p>
            <w:pPr>
              <w:spacing w:after="0"/>
              <w:rPr>
                <w:sz w:val="1"/>
                <w:szCs w:val="1"/>
                <w:color w:val="auto"/>
              </w:rPr>
            </w:pPr>
          </w:p>
        </w:tc>
      </w:tr>
      <w:tr>
        <w:trPr>
          <w:trHeight w:val="200"/>
        </w:trPr>
        <w:tc>
          <w:tcPr>
            <w:tcW w:w="358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14"/>
                <w:szCs w:val="14"/>
                <w:color w:val="auto"/>
              </w:rPr>
              <w:t xml:space="preserve">L'Auberge de Sedona </w:t>
            </w:r>
            <w:r>
              <w:rPr>
                <w:rFonts w:ascii="Times New Roman" w:cs="Times New Roman" w:eastAsia="Times New Roman" w:hAnsi="Times New Roman"/>
                <w:sz w:val="18"/>
                <w:szCs w:val="18"/>
                <w:color w:val="auto"/>
                <w:vertAlign w:val="superscript"/>
              </w:rPr>
              <w:t>(3)</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Sedona, Arizona</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674.38</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Margaritaville Beach House Key West</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Key West, Florida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Lodge at Sonoma Resort</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Sonoma, California</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474.93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Courtyard Denver Downtown</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Denver, Colorado</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Lindy Renaissance Charleston Hotel</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Charleston, South Carolina</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Kimpton Shorebreak Huntington Beach Resort</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Huntington Beach, California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Cavallo Point, The Lodge at the Golden Gate</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Sausalito, California</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927.11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Chico Hot Springs Resort &amp; Day Spa</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Pray, Montana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Havana Cabana Key West</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Key West, Florida</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Tranquility Bay Beachfront Resort</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Marathon, Florida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 Emblem San Francisco</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San Francisco, California</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Kimpton Shorebreak Fort Lauderdale Beach Resort</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Fort Lauderdale, Florida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0" w:type="dxa"/>
            <w:vAlign w:val="bottom"/>
          </w:tcPr>
          <w:p>
            <w:pPr>
              <w:spacing w:after="0"/>
              <w:rPr>
                <w:sz w:val="1"/>
                <w:szCs w:val="1"/>
                <w:color w:val="auto"/>
              </w:rPr>
            </w:pPr>
          </w:p>
        </w:tc>
      </w:tr>
      <w:tr>
        <w:trPr>
          <w:trHeight w:val="19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Landing Lake Tahoe Resort &amp; Spa</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 Lake Tahoe, California</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468.60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Lake Austin Spa Resort</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Austin, Texas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   1,041.28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1,330.79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3"/>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Henderson Park Inn</w:t>
            </w:r>
          </w:p>
        </w:tc>
        <w:tc>
          <w:tcPr>
            <w:tcW w:w="2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Destin, Florida</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68.8 %</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394.77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658.31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TOTAL/WEIGHTED AVERAGE</w:t>
            </w:r>
          </w:p>
        </w:tc>
        <w:tc>
          <w:tcPr>
            <w:tcW w:w="2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10,005</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71.9 %</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287.51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318.12</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55" w:lineRule="exact"/>
        <w:rPr>
          <w:sz w:val="20"/>
          <w:szCs w:val="20"/>
          <w:color w:val="auto"/>
        </w:rPr>
      </w:pPr>
    </w:p>
    <w:p>
      <w:pPr>
        <w:ind w:left="640" w:hanging="314"/>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change from 2024 RevPAR reflects the comparable period in 2024 to our 2025 ownership period from January 1, 2025 until the hotel was sold on February 19, 2025.</w:t>
      </w:r>
    </w:p>
    <w:p>
      <w:pPr>
        <w:spacing w:after="0" w:line="52"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hotel was acquired on November 12, 2024. The percentage change from 2024 RevPAR reflects the comparable period in 2024 to our 2025 ownership period.</w:t>
      </w:r>
    </w:p>
    <w:p>
      <w:pPr>
        <w:spacing w:after="0" w:line="65" w:lineRule="exact"/>
        <w:rPr>
          <w:rFonts w:ascii="Times New Roman" w:cs="Times New Roman" w:eastAsia="Times New Roman" w:hAnsi="Times New Roman"/>
          <w:sz w:val="14"/>
          <w:szCs w:val="14"/>
          <w:color w:val="auto"/>
        </w:rPr>
      </w:pPr>
    </w:p>
    <w:p>
      <w:pPr>
        <w:ind w:left="640" w:hanging="314"/>
        <w:spacing w:after="0" w:line="266" w:lineRule="auto"/>
        <w:tabs>
          <w:tab w:leader="none" w:pos="6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2025, Orchards Inn Sedona and L'Auberge de Sedona were combined and operate as one hotel. Amounts presented have been adjusted to reflect the combination.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 for 2026</w:t>
      </w:r>
    </w:p>
    <w:p>
      <w:pPr>
        <w:spacing w:after="0" w:line="248" w:lineRule="exact"/>
        <w:rPr>
          <w:sz w:val="20"/>
          <w:szCs w:val="20"/>
          <w:color w:val="auto"/>
        </w:rPr>
      </w:pPr>
    </w:p>
    <w:p>
      <w:pPr>
        <w:jc w:val="both"/>
        <w:ind w:firstLine="400"/>
        <w:spacing w:after="0" w:line="220" w:lineRule="exact"/>
        <w:rPr>
          <w:sz w:val="20"/>
          <w:szCs w:val="20"/>
          <w:color w:val="auto"/>
        </w:rPr>
      </w:pPr>
      <w:r>
        <w:rPr>
          <w:rFonts w:ascii="Times New Roman" w:cs="Times New Roman" w:eastAsia="Times New Roman" w:hAnsi="Times New Roman"/>
          <w:sz w:val="18"/>
          <w:szCs w:val="18"/>
          <w:color w:val="auto"/>
        </w:rPr>
        <w:t>The U.S. economy is projected to deliver moderate growth in 2026, broadly comparable to that of 2025. Growth is supported by easing financial conditions, fiscal stimulus and incremental investment in technology, while constrained by a softening labor market, affordability pressures, and the impacts of an uncertain trade policy. Inflation has moderated from the peak levels observed in recent years but is forecasted to remain above the Federal Reserve's long-term target of 2% in 2026. While interest rate reductions are anticipated this year, the Federal Reserve has continued to signal a cautious, data-dependent approach to monetary policy as it assesses progress towards price stability and conditions in the labor market. Consumer spending, which has been a key source of economic resilience, is expected to remain positive in 2026 but with growth decelerating from 2025 levels. Spending patterns are likely to remain uneven, with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income households continuing to</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4" w:lineRule="exact"/>
        <w:rPr>
          <w:sz w:val="20"/>
          <w:szCs w:val="20"/>
          <w:color w:val="auto"/>
        </w:rPr>
      </w:pPr>
    </w:p>
    <w:p>
      <w:pPr>
        <w:jc w:val="both"/>
        <w:spacing w:after="0" w:line="243" w:lineRule="exact"/>
        <w:rPr>
          <w:sz w:val="20"/>
          <w:szCs w:val="20"/>
          <w:color w:val="auto"/>
        </w:rPr>
      </w:pPr>
      <w:r>
        <w:rPr>
          <w:rFonts w:ascii="Times New Roman" w:cs="Times New Roman" w:eastAsia="Times New Roman" w:hAnsi="Times New Roman"/>
          <w:sz w:val="18"/>
          <w:szCs w:val="18"/>
          <w:color w:val="auto"/>
        </w:rPr>
        <w:t>account for a disproportionate share of demand, while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income consumers face persistent affordability challenges that may constrain their discretionary spending.</w:t>
      </w:r>
    </w:p>
    <w:p>
      <w:pPr>
        <w:spacing w:after="0" w:line="222"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Travel demand remains sensitive to macroeconomic conditions, and uncertainty surrounding economic growth continues to influence the hospitality industry. Travel demand is expected to remain relatively steady in 2026 with RevPAR growth driven primarily by higher rates; however, elevated operating costs, particularly related to labor, utilities, and property taxes are expected to continue to pressure hotel profitability and operating margins. Changes in labor market conditions and broader economic uncertainty may also influence consumer confidence and discretionary spending.</w:t>
      </w:r>
    </w:p>
    <w:p>
      <w:pPr>
        <w:spacing w:after="0" w:line="206"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Our portfolio, which consists primarily of luxury and upper upscale hotels and resorts in major urban centers and desirable leisure destinations, is well positioned for continued resilient performance. Our portfolio is relatively insulated from competitive new supply and the majority of our hotels are marketed to higher-income consumers. While certain markets may experience moderating demand trends, as consumers adjust discretionary spending in response to evolving economic conditions, we do expect pricing power to be maintained and ancillary revenues to continue to increase in the portfolio.</w:t>
      </w:r>
    </w:p>
    <w:p>
      <w:pPr>
        <w:spacing w:after="0" w:line="206"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In 2026, we expect to benefit from: (1) the ownership of a high-quality portfolio, (2) return on investments from recently completed renovations, rebrandings, and repositionings, and limited earnings disruption from ongoing renovations, (3) incremental travel demand from a favorable holiday calendar and one-time events, such as the FIFA World Cup, (4) asset management initiatives, and (5) a conservative debt capital structure.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2025 to the Year Ended December 31, 2024</w:t>
      </w:r>
    </w:p>
    <w:p>
      <w:pPr>
        <w:spacing w:after="0" w:line="248"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All properties owned during these periods have been included in our results of operations during the respective periods since their date of acquisition. Based on when a property was acquired, operating results for certain properties are not comparable for the year ended December 31, 2025 and 2024. The AC Hotel Minneapolis Downtown was acquired on November 12, 2024 and will hereinafter be referred to as our “2024 Acquisition.” The Westin Washington D.C. City Center was sold on February 19, 2025, and will hereinafter be referred to as our “2025 Disposition.”</w:t>
      </w: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consists of the following (in thousands):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6"/>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4"/>
                <w:szCs w:val="24"/>
                <w:color w:val="auto"/>
              </w:rPr>
            </w:pPr>
          </w:p>
        </w:tc>
      </w:tr>
      <w:tr>
        <w:trPr>
          <w:trHeight w:val="220"/>
        </w:trPr>
        <w:tc>
          <w:tcPr>
            <w:tcW w:w="5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r>
      <w:tr>
        <w:trPr>
          <w:trHeight w:val="22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1,120,491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1,129,883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440"/>
        <w:spacing w:after="0" w:line="276" w:lineRule="auto"/>
        <w:rPr>
          <w:sz w:val="20"/>
          <w:szCs w:val="20"/>
          <w:color w:val="auto"/>
        </w:rPr>
      </w:pPr>
      <w:r>
        <w:rPr>
          <w:rFonts w:ascii="Times New Roman" w:cs="Times New Roman" w:eastAsia="Times New Roman" w:hAnsi="Times New Roman"/>
          <w:sz w:val="18"/>
          <w:szCs w:val="18"/>
          <w:color w:val="auto"/>
        </w:rPr>
        <w:t>The following are key hotel operating statistics for the years ended December 31, 2025 and 2024. The 2024 operating statistics reflect the period in 2024 comparable to our ownership period in 2025 for the 2024 Acquisition and 2025 Disposition.</w:t>
      </w:r>
    </w:p>
    <w:p>
      <w:pPr>
        <w:spacing w:after="0" w:line="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287.51</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283.80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206.86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206.12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2"/>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RevPAR</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318.12</w:t>
            </w:r>
          </w:p>
        </w:tc>
        <w:tc>
          <w:tcPr>
            <w:tcW w:w="10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314.33</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30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Rooms revenues decreased by $14.0 million from the year ended December 31, 2024 to the year ended December 31, 2025. A decrease of $22.6 million was attributable to our 2025 Disposition, which was partially offset by an increase of $8.4 million due to our 2024 Acquisition. The remaining increase in rooms revenues of $0.2 million was due to a modest decline in lodging demand offset by ADR growth in group and business transient segments.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Food and beverage revenues increased $0.1 million from the year ended December 31, 2024 to the year ended December 31, 2025. The increase was attributable to growth in banquets, catering, and service charge revenues, offset by a decrease of $5.7 million due to our 2025 Disposition.</w:t>
      </w:r>
    </w:p>
    <w:p>
      <w:pPr>
        <w:spacing w:after="0" w:line="190"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Other revenues, which primarily represent spa, parking, resort fees and attrition and cancellation fees, increased $4.5 million from the year ended December 31, 2024 to the year ended December 31, 2025, primarily due to an increase in spa revenue, parking revenue, and resort fees, including the implementation of a resort fee at the Bourbon Orleans Hotel and The Lindy Renaissance Charleston Hotel.</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Hotel operating expenses. </w:t>
      </w:r>
      <w:r>
        <w:rPr>
          <w:rFonts w:ascii="Times New Roman" w:cs="Times New Roman" w:eastAsia="Times New Roman" w:hAnsi="Times New Roman"/>
          <w:sz w:val="18"/>
          <w:szCs w:val="18"/>
          <w:color w:val="auto"/>
        </w:rPr>
        <w:t>The operating expenses consisted of the following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Pr>
          <w:p>
            <w:pPr>
              <w:spacing w:after="0"/>
              <w:rPr>
                <w:sz w:val="20"/>
                <w:szCs w:val="20"/>
                <w:color w:val="auto"/>
              </w:rPr>
            </w:pPr>
          </w:p>
        </w:tc>
        <w:tc>
          <w:tcPr>
            <w:tcW w:w="11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3"/>
        </w:trPr>
        <w:tc>
          <w:tcPr>
            <w:tcW w:w="510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CCEEFF"/>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Rooms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(3,437)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(1.8)%</w:t>
            </w:r>
          </w:p>
        </w:tc>
      </w:tr>
      <w:tr>
        <w:trPr>
          <w:trHeight w:val="22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193,331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departmental and support expenses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268,563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(1,311)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(4.8)</w:t>
            </w:r>
          </w:p>
        </w:tc>
      </w:tr>
      <w:tr>
        <w:trPr>
          <w:trHeight w:val="22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fees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(3.4)</w:t>
            </w:r>
          </w:p>
        </w:tc>
      </w:tr>
      <w:tr>
        <w:trPr>
          <w:trHeight w:val="227"/>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property-level expenses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(2,805)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(2.7)</w:t>
            </w:r>
          </w:p>
        </w:tc>
      </w:tr>
      <w:tr>
        <w:trPr>
          <w:trHeight w:val="24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hotel operating expenses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818,245</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(8,941)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color w:val="auto"/>
        </w:rPr>
        <w:t>Our hotel operating expenses decreased $8.9 million from $818.2 million for the year ended December 31, 2024 to $809.3 million for the year ended December 31, 2025, with $20.6 million of such decrease attributable to our 2025 Disposition, partially offset by an increase of $7.3 million due to our 2024 Acquisition. The remaining increase of $13.3 million was due to higher property tax assessments, primarily related to our Chicago hotels, as well as increases in utilities and repairs and maintenance costs.</w:t>
      </w:r>
    </w:p>
    <w:p>
      <w:pPr>
        <w:spacing w:after="0" w:line="204" w:lineRule="exact"/>
        <w:rPr>
          <w:sz w:val="20"/>
          <w:szCs w:val="20"/>
          <w:color w:val="auto"/>
        </w:rPr>
      </w:pPr>
    </w:p>
    <w:p>
      <w:pPr>
        <w:jc w:val="both"/>
        <w:ind w:firstLine="440"/>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Our depreciation and amortization expense decreased $0.5 million from $113.6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to $113.1 million for the year ended December 31, 2025, primarily due to our 2025 Disposition.</w:t>
      </w:r>
    </w:p>
    <w:p>
      <w:pPr>
        <w:spacing w:after="0" w:line="187"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Impairment losses. </w:t>
      </w:r>
      <w:r>
        <w:rPr>
          <w:rFonts w:ascii="Times New Roman" w:cs="Times New Roman" w:eastAsia="Times New Roman" w:hAnsi="Times New Roman"/>
          <w:sz w:val="18"/>
          <w:szCs w:val="18"/>
          <w:color w:val="auto"/>
        </w:rPr>
        <w:t>During the year ended December 31, 2025, we recorded an impairment loss of $1.1 million related to the write-off of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progress that was determined not to be recoverable. During the year ended December 31, 2024, we recorded impairment losses of $32.6 million related to the Westin Washington D.C. City Center and $1.6 million related to the write-off of construction in progress that was determined not to be recoverable. The impairment of the Westin Washington D.C. City Center was a result of our evaluation of the recoverability of the carrying amount of the hotel due to our determination in the fourth quarter of 2024 that it was more likely than not that the hotel would be sold before the end of its previously estimated useful life. The impairment adjusted the hotel's carrying amount to its estimated fair value less costs to sell.</w:t>
      </w:r>
    </w:p>
    <w:p>
      <w:pPr>
        <w:spacing w:after="0" w:line="210"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expenses. </w:t>
      </w:r>
      <w:r>
        <w:rPr>
          <w:rFonts w:ascii="Times New Roman" w:cs="Times New Roman" w:eastAsia="Times New Roman" w:hAnsi="Times New Roman"/>
          <w:sz w:val="18"/>
          <w:szCs w:val="18"/>
          <w:color w:val="auto"/>
        </w:rPr>
        <w:t>Corporate expenses principally consist of employee-related costs, including payroll, bonus, share-based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Corporate expenses also include corporate operating costs, professional fees and directors' fees. Our corporate expenses decreased $18.5 million, from $52.9 million for the year ended December 31, 2024 to $34.4 million for the year ended December 31, 2025, primarily due to severance expense recognized during the year ended December 31, 2024, in connection with executive leadership changes made in April 2024.</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Our interest expense was comprised of the following (in thousands):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700"/>
        </w:trPr>
        <w:tc>
          <w:tcPr>
            <w:tcW w:w="1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0" w:type="dxa"/>
            <w:vAlign w:val="bottom"/>
          </w:tcPr>
          <w:p>
            <w:pPr>
              <w:spacing w:after="0"/>
              <w:rPr>
                <w:sz w:val="24"/>
                <w:szCs w:val="24"/>
                <w:color w:val="auto"/>
              </w:rPr>
            </w:pPr>
          </w:p>
        </w:tc>
        <w:tc>
          <w:tcPr>
            <w:tcW w:w="13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4"/>
                <w:szCs w:val="24"/>
                <w:color w:val="auto"/>
              </w:rPr>
            </w:pPr>
          </w:p>
        </w:tc>
      </w:tr>
      <w:tr>
        <w:trPr>
          <w:trHeight w:val="287"/>
        </w:trPr>
        <w:tc>
          <w:tcPr>
            <w:tcW w:w="1200" w:type="dxa"/>
            <w:vAlign w:val="bottom"/>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3"/>
        </w:trPr>
        <w:tc>
          <w:tcPr>
            <w:tcW w:w="1200" w:type="dxa"/>
            <w:vAlign w:val="bottom"/>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term loan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50,394</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47,232</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53"/>
        </w:trPr>
        <w:tc>
          <w:tcPr>
            <w:tcW w:w="1200" w:type="dxa"/>
            <w:vAlign w:val="bottom"/>
          </w:tcPr>
          <w:p>
            <w:pPr>
              <w:spacing w:after="0"/>
              <w:rPr>
                <w:sz w:val="22"/>
                <w:szCs w:val="22"/>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debt interest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(51.1)</w:t>
            </w:r>
          </w:p>
        </w:tc>
      </w:tr>
      <w:tr>
        <w:trPr>
          <w:trHeight w:val="253"/>
        </w:trPr>
        <w:tc>
          <w:tcPr>
            <w:tcW w:w="1200" w:type="dxa"/>
            <w:vAlign w:val="bottom"/>
          </w:tcPr>
          <w:p>
            <w:pPr>
              <w:spacing w:after="0"/>
              <w:rPr>
                <w:sz w:val="22"/>
                <w:szCs w:val="22"/>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interest and unused fees</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r>
      <w:tr>
        <w:trPr>
          <w:trHeight w:val="253"/>
        </w:trPr>
        <w:tc>
          <w:tcPr>
            <w:tcW w:w="1200" w:type="dxa"/>
            <w:vAlign w:val="bottom"/>
          </w:tcPr>
          <w:p>
            <w:pPr>
              <w:spacing w:after="0"/>
              <w:rPr>
                <w:sz w:val="22"/>
                <w:szCs w:val="22"/>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53"/>
        </w:trPr>
        <w:tc>
          <w:tcPr>
            <w:tcW w:w="1200" w:type="dxa"/>
            <w:vAlign w:val="bottom"/>
          </w:tcPr>
          <w:p>
            <w:pPr>
              <w:spacing w:after="0"/>
              <w:rPr>
                <w:sz w:val="22"/>
                <w:szCs w:val="22"/>
                <w:color w:val="auto"/>
              </w:rPr>
            </w:pPr>
          </w:p>
        </w:tc>
        <w:tc>
          <w:tcPr>
            <w:tcW w:w="3820" w:type="dxa"/>
            <w:vAlign w:val="bottom"/>
            <w:gridSpan w:val="2"/>
            <w:shd w:val="clear" w:color="auto" w:fill="CCEEFF"/>
          </w:tcPr>
          <w:p>
            <w:pPr>
              <w:ind w:left="20"/>
              <w:spacing w:after="0" w:line="253" w:lineRule="exact"/>
              <w:rPr>
                <w:sz w:val="20"/>
                <w:szCs w:val="20"/>
                <w:color w:val="auto"/>
              </w:rPr>
            </w:pPr>
            <w:r>
              <w:rPr>
                <w:rFonts w:ascii="Times New Roman" w:cs="Times New Roman" w:eastAsia="Times New Roman" w:hAnsi="Times New Roman"/>
                <w:sz w:val="18"/>
                <w:szCs w:val="18"/>
                <w:color w:val="auto"/>
              </w:rPr>
              <w:t xml:space="preserve">Finance lease expense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505.8</w:t>
            </w:r>
          </w:p>
        </w:tc>
      </w:tr>
      <w:tr>
        <w:trPr>
          <w:trHeight w:val="220"/>
        </w:trPr>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62,798</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640" w:hanging="314"/>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2024, we extended the term on one of our ground leases, and, as a result, the lease classification changed from an operating lease to a finance lease.</w:t>
      </w:r>
    </w:p>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decrease in interest expense is primarily due to our mortgage debt repayments in 2025.</w:t>
      </w:r>
    </w:p>
    <w:p>
      <w:pPr>
        <w:spacing w:after="0" w:line="244"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During the year ended December 31, 2025, we recognized an income tax benefit of $1.2 million, which was primarily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 of $2.4 million of the valuation allowance on our deferred tax assets. The release was driven by improved evidence of realizability at our TRSs, including cumulative taxable income over the most recent three-year period, the expected reversal of certain taxable temporary differences, and forecasted future taxable income. This benefit was slightly offset by state and local income tax expense. During the year ended December 31, 2024, we recognized income tax expense of $1.5 million, which was primarily related to state and local income tax expense. The income tax expense was slightly offset by a release of $0.2 million of the valuation allowance on our deferred tax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2024 to the Year Ended December 31, 2023</w:t>
      </w:r>
    </w:p>
    <w:p>
      <w:pPr>
        <w:spacing w:after="0" w:line="248"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Discussion of the comparison of the results of operations for the year ended December 31, 2024 to the year ended December 31, 2023 was included in our Annual Report on Form 10-K for the year ended December 31, 2024 on page 47 under Part II, Item 7 “Management’s Discussion and Analysis of Financial Condition and Results of Operations,” which was filed with the SEC on February 28,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short-term liquidity requirements consist primarily of funds necessary to pay our scheduled debt service, operating</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expenses, ground lease payments, capital expenditures directly associated with our hotels, any share repurchases, and distributions to our common stockholders.</w:t>
      </w:r>
    </w:p>
    <w:p>
      <w:pPr>
        <w:spacing w:after="0" w:line="209"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Our long-term liquidity requirements consist primarily of funds necessary to pay for the costs of acquiring additional hotels, renovations and other capital expenditures that need to be made periodically to our hotels, scheduled debt payments, debt maturities, certain redemptions of common OP units, ground lease payments, share repurchases, and making distributions to our common stockholders. We expect to meet our long-term liquidity requirements through various sources of capital, including cash provided by operations, borrowings, issuances of additional equity, including common OP units, and/or debt securities and proceeds from property dispositions. Our ability to incur additional debt is dependent upon a number of factors, including the state of the credit markets, our degree of leverage, the value of our unencumbered assets and borrowing restrictions imposed by existing lenders. Our ability to raise capital through the issuance of additional equity and/or debt securities is also dependent on a number of factors including the current state of the capital markets, investor sentiment and our intended use of proceeds. We may need to raise additional capital if we identify acquisition opportunities that meet our investment objectives and require liquidity in excess of existing cash balances. Our ability to raise funds through the issuance of equity securities depends on, among other things, general market conditions for hotel companies and REITs and market perceptions about 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Financing Strategy</w:t>
      </w:r>
    </w:p>
    <w:p>
      <w:pPr>
        <w:spacing w:after="0" w:line="250"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Since our formation in 2004, we have been committed to a conservative capital structure with prudent leverage. Our outstanding debt consists of unsecured term loans and periodic borrowings on our senior unsecured credit facility. We have a preference to maintain a significant portion of our portfolio as unencumbered in order to provide balance sheet flexibility. As of December 31, 2025, our portfolio is fully unencumbered by secured debt. We expect that our strategy will enable us to maintain a balance sheet with an appropriate amount of debt throughout all phases of the lodging cycle. We believe that it is prudent to reduce the inherent risk of highly cyclical lodging fundamentals through a low leverage capital structure.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color w:val="auto"/>
        </w:rPr>
        <w:t>We prefer a relatively simple yet efficient capital structure. We generally structure our hotel acquisitions to be straightforward and to fit within our capital structure; however, we will consider a more complex transaction, such as the issuance of common OP units in connection with the acquisition of Cavallo Point, The Lodge at the Golden Gate, if we believe that the projected returns to our stockholders will significantly exceed the returns that would otherwise be available.</w:t>
      </w:r>
    </w:p>
    <w:p>
      <w:pPr>
        <w:spacing w:after="0" w:line="20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We believe that we maintain a reasonable amount of debt. As of December 31, 2025, we had $1.1 billion of debt outstanding with a weighted average interest rate of 4.98%, which includes the effect of interest rate swaps, and a weighted average maturity date of approximately 3.6 years, assuming all extension options available in our debt agreements are exercised. We remain committed to our core strategy of prudent leverage.</w:t>
      </w:r>
    </w:p>
    <w:p>
      <w:pPr>
        <w:spacing w:after="0" w:line="204"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The following table outlines the timing and extent of our debt principal maturities and estimated interest payments for our mortgage debt and unsecured term loans as of December 31, 2025, assuming all extension options available in our debt agreements are exercised (in thousands):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17"/>
                <w:szCs w:val="17"/>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23"/>
                <w:szCs w:val="23"/>
                <w:b w:val="1"/>
                <w:bCs w:val="1"/>
                <w:color w:val="auto"/>
                <w:vertAlign w:val="superscript"/>
              </w:rPr>
              <w:t>(1)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Principal and</w:t>
            </w:r>
          </w:p>
        </w:tc>
        <w:tc>
          <w:tcPr>
            <w:tcW w:w="0" w:type="dxa"/>
            <w:vAlign w:val="bottom"/>
          </w:tcPr>
          <w:p>
            <w:pPr>
              <w:spacing w:after="0"/>
              <w:rPr>
                <w:sz w:val="1"/>
                <w:szCs w:val="1"/>
                <w:color w:val="auto"/>
              </w:rPr>
            </w:pPr>
          </w:p>
        </w:tc>
      </w:tr>
      <w:tr>
        <w:trPr>
          <w:trHeight w:val="240"/>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20"/>
        </w:trPr>
        <w:tc>
          <w:tcPr>
            <w:tcW w:w="5340" w:type="dxa"/>
            <w:vAlign w:val="bottom"/>
            <w:tcBorders>
              <w:top w:val="single" w:sz="8" w:color="CCEEFF"/>
            </w:tcBorders>
            <w:shd w:val="clear" w:color="auto" w:fill="CCEEFF"/>
          </w:tcPr>
          <w:p>
            <w:pPr>
              <w:jc w:val="right"/>
              <w:ind w:right="4891"/>
              <w:spacing w:after="0"/>
              <w:rPr>
                <w:sz w:val="20"/>
                <w:szCs w:val="20"/>
                <w:color w:val="auto"/>
              </w:rPr>
            </w:pPr>
            <w:r>
              <w:rPr>
                <w:rFonts w:ascii="Times New Roman" w:cs="Times New Roman" w:eastAsia="Times New Roman" w:hAnsi="Times New Roman"/>
                <w:sz w:val="18"/>
                <w:szCs w:val="18"/>
                <w:color w:val="auto"/>
                <w:w w:val="94"/>
              </w:rPr>
              <w:t>2026</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54,799</w:t>
            </w:r>
          </w:p>
        </w:tc>
        <w:tc>
          <w:tcPr>
            <w:tcW w:w="0" w:type="dxa"/>
            <w:vAlign w:val="bottom"/>
          </w:tcPr>
          <w:p>
            <w:pPr>
              <w:spacing w:after="0"/>
              <w:rPr>
                <w:sz w:val="1"/>
                <w:szCs w:val="1"/>
                <w:color w:val="auto"/>
              </w:rPr>
            </w:pPr>
          </w:p>
        </w:tc>
      </w:tr>
      <w:tr>
        <w:trPr>
          <w:trHeight w:val="227"/>
        </w:trPr>
        <w:tc>
          <w:tcPr>
            <w:tcW w:w="5340" w:type="dxa"/>
            <w:vAlign w:val="bottom"/>
          </w:tcPr>
          <w:p>
            <w:pPr>
              <w:jc w:val="right"/>
              <w:ind w:right="4891"/>
              <w:spacing w:after="0"/>
              <w:rPr>
                <w:sz w:val="20"/>
                <w:szCs w:val="20"/>
                <w:color w:val="auto"/>
              </w:rPr>
            </w:pPr>
            <w:r>
              <w:rPr>
                <w:rFonts w:ascii="Times New Roman" w:cs="Times New Roman" w:eastAsia="Times New Roman" w:hAnsi="Times New Roman"/>
                <w:sz w:val="18"/>
                <w:szCs w:val="18"/>
                <w:color w:val="auto"/>
                <w:w w:val="94"/>
              </w:rPr>
              <w:t>2027</w:t>
            </w: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54,630</w:t>
            </w:r>
          </w:p>
        </w:tc>
        <w:tc>
          <w:tcPr>
            <w:tcW w:w="0" w:type="dxa"/>
            <w:vAlign w:val="bottom"/>
          </w:tcPr>
          <w:p>
            <w:pPr>
              <w:spacing w:after="0"/>
              <w:rPr>
                <w:sz w:val="1"/>
                <w:szCs w:val="1"/>
                <w:color w:val="auto"/>
              </w:rPr>
            </w:pPr>
          </w:p>
        </w:tc>
      </w:tr>
      <w:tr>
        <w:trPr>
          <w:trHeight w:val="227"/>
        </w:trPr>
        <w:tc>
          <w:tcPr>
            <w:tcW w:w="5340" w:type="dxa"/>
            <w:vAlign w:val="bottom"/>
            <w:shd w:val="clear" w:color="auto" w:fill="CCEEFF"/>
          </w:tcPr>
          <w:p>
            <w:pPr>
              <w:jc w:val="right"/>
              <w:ind w:right="4891"/>
              <w:spacing w:after="0"/>
              <w:rPr>
                <w:sz w:val="20"/>
                <w:szCs w:val="20"/>
                <w:color w:val="auto"/>
              </w:rPr>
            </w:pPr>
            <w:r>
              <w:rPr>
                <w:rFonts w:ascii="Times New Roman" w:cs="Times New Roman" w:eastAsia="Times New Roman" w:hAnsi="Times New Roman"/>
                <w:sz w:val="18"/>
                <w:szCs w:val="18"/>
                <w:color w:val="auto"/>
                <w:w w:val="94"/>
              </w:rPr>
              <w:t>2028</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55,148</w:t>
            </w:r>
          </w:p>
        </w:tc>
        <w:tc>
          <w:tcPr>
            <w:tcW w:w="0" w:type="dxa"/>
            <w:vAlign w:val="bottom"/>
          </w:tcPr>
          <w:p>
            <w:pPr>
              <w:spacing w:after="0"/>
              <w:rPr>
                <w:sz w:val="1"/>
                <w:szCs w:val="1"/>
                <w:color w:val="auto"/>
              </w:rPr>
            </w:pPr>
          </w:p>
        </w:tc>
      </w:tr>
      <w:tr>
        <w:trPr>
          <w:trHeight w:val="227"/>
        </w:trPr>
        <w:tc>
          <w:tcPr>
            <w:tcW w:w="5340" w:type="dxa"/>
            <w:vAlign w:val="bottom"/>
          </w:tcPr>
          <w:p>
            <w:pPr>
              <w:jc w:val="right"/>
              <w:ind w:right="4891"/>
              <w:spacing w:after="0"/>
              <w:rPr>
                <w:sz w:val="20"/>
                <w:szCs w:val="20"/>
                <w:color w:val="auto"/>
              </w:rPr>
            </w:pPr>
            <w:r>
              <w:rPr>
                <w:rFonts w:ascii="Times New Roman" w:cs="Times New Roman" w:eastAsia="Times New Roman" w:hAnsi="Times New Roman"/>
                <w:sz w:val="18"/>
                <w:szCs w:val="18"/>
                <w:color w:val="auto"/>
                <w:w w:val="94"/>
              </w:rPr>
              <w:t>2029</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530,684</w:t>
            </w:r>
          </w:p>
        </w:tc>
        <w:tc>
          <w:tcPr>
            <w:tcW w:w="0" w:type="dxa"/>
            <w:vAlign w:val="bottom"/>
          </w:tcPr>
          <w:p>
            <w:pPr>
              <w:spacing w:after="0"/>
              <w:rPr>
                <w:sz w:val="1"/>
                <w:szCs w:val="1"/>
                <w:color w:val="auto"/>
              </w:rPr>
            </w:pPr>
          </w:p>
        </w:tc>
      </w:tr>
      <w:tr>
        <w:trPr>
          <w:trHeight w:val="227"/>
        </w:trPr>
        <w:tc>
          <w:tcPr>
            <w:tcW w:w="5340" w:type="dxa"/>
            <w:vAlign w:val="bottom"/>
            <w:shd w:val="clear" w:color="auto" w:fill="CCEEFF"/>
          </w:tcPr>
          <w:p>
            <w:pPr>
              <w:jc w:val="right"/>
              <w:ind w:right="4891"/>
              <w:spacing w:after="0"/>
              <w:rPr>
                <w:sz w:val="20"/>
                <w:szCs w:val="20"/>
                <w:color w:val="auto"/>
              </w:rPr>
            </w:pPr>
            <w:r>
              <w:rPr>
                <w:rFonts w:ascii="Times New Roman" w:cs="Times New Roman" w:eastAsia="Times New Roman" w:hAnsi="Times New Roman"/>
                <w:sz w:val="18"/>
                <w:szCs w:val="18"/>
                <w:color w:val="auto"/>
                <w:w w:val="94"/>
              </w:rPr>
              <w:t>2030</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601,837</w:t>
            </w:r>
          </w:p>
        </w:tc>
        <w:tc>
          <w:tcPr>
            <w:tcW w:w="0" w:type="dxa"/>
            <w:vAlign w:val="bottom"/>
          </w:tcPr>
          <w:p>
            <w:pPr>
              <w:spacing w:after="0"/>
              <w:rPr>
                <w:sz w:val="1"/>
                <w:szCs w:val="1"/>
                <w:color w:val="auto"/>
              </w:rPr>
            </w:pPr>
          </w:p>
        </w:tc>
      </w:tr>
      <w:tr>
        <w:trPr>
          <w:trHeight w:val="220"/>
        </w:trPr>
        <w:tc>
          <w:tcPr>
            <w:tcW w:w="53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197,098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1,297,098</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56" w:lineRule="exact"/>
        <w:rPr>
          <w:sz w:val="20"/>
          <w:szCs w:val="20"/>
          <w:color w:val="auto"/>
        </w:rPr>
      </w:pPr>
    </w:p>
    <w:p>
      <w:pPr>
        <w:ind w:left="720" w:hanging="394"/>
        <w:spacing w:after="0" w:line="275"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expense for our variable rate unsecured term loans is calculated based on the weighted average rate as of December 31, 2025 of 4.98%, which includes the effect of interest rate swaps.</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about our financing activities is available in Note 5 to the accompanying consolidated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50"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In August 2024, our board of directors approved an “at-the-market” equity offering program (the “ATM Program”), pursuant to which we may issue and sell shares of our common stock from time to time, having an aggregate offering price of up to $200.0 million. We did not sell any shares under the ATM Program during the years ended December 31, 2025 and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3"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On May 1, 2024, our board of directors authorized the repurchase of up to $200.0 million of our common stock under a share repurchase program. The timing and actual number of shares repurchased will depend on a variety of factors, including price and general business and market conditions. The share repurchase program does not obligate us to acquire any particular amount of shares, and may be suspended or discontinued at any time at our discretion. The share repurchase program will expire on May 1, 2026. During the year ended December 31, 2025, we repurchased 4,798,642 shares of common stock at an average price of $7.72 per share for an aggregate purchase price of $37.1 million. As of February 27, 2026, we have $137.0 million of authorized capacity remaining under the share repurchase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3"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We are authorized by our charter to issue up to 10 million shares of preferred stock, $0.01 par value per share. Our board of directors is required to set for each class or series of preferred stock the terms, preferences, conversion or other rights, voting powers, restrictions, limitations as to dividends or other distributions, qualifications, and terms or conditions of redemption.</w:t>
      </w:r>
    </w:p>
    <w:p>
      <w:pPr>
        <w:spacing w:after="0" w:line="204"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As of December 31, 2024, there were 4,760,000 shares of 8.250% Series A Cumulative Redeemable Preferred Stock (“Series A Preferred Stock”) issued and outstanding with a liquidation preference of $25.00 per share. On August 31, 2025, the Series A Preferred Stock became redeemable at the Company's option, in whole or in part, at any time or from time to time, for cash at a redemption price of $25.00 per share, plus accrued and unpaid dividends up to, but not including, the redemption date. On December 31, 2025, the Company redeemed all 4,760,000 outstanding shares at $25.00 per share for a total redemption amount of $119.0 million, plus accrued and unpaid dividends.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250"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Other than borrowings under our senior unsecured credit facility, discussed below, we do not utilize short-term borrowings to meet liquidity requirements.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Credit Facility and Unsecured Term Loans</w:t>
      </w:r>
    </w:p>
    <w:p>
      <w:pPr>
        <w:spacing w:after="0" w:line="250"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Prior to July 22, 2025, we were party to a Sixth Amended and Restated Credit Agreement that provided us with a $400.0 million senior unsecured revolving credit facility and two term loan facilities in the aggregate amount of $800.0 million. The revolving credit facility was scheduled to mature on September 27, 2026, subject to customary extension options. The term loan facilities consisted of a $500.0 million term loan maturing on January 3, 2028 and a $300.0 million term loan maturing on January 3, 2026. We had the right to increase the aggregate amount of the facilities to $1.4 billion upon the satisfaction of certain standard conditions. On July 2, 2025, we drew $60.0 million on our senior unsecured revolving credit facility, which was subsequently repaid.</w:t>
      </w:r>
    </w:p>
    <w:p>
      <w:pPr>
        <w:spacing w:after="0" w:line="210"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On July 22, 2025, we entered into the Seventh Amended and Restated Credit Agreement (the “Amended Credit Facility”), which provides us with a $400.0 million senior unsecured revolving credit facility and three term loan facilities in the aggregate amount of $1.1 billion. The senior unsecured revolving credit facility (the “Revolving Credit Facility”) matures on January 22, 2030. The term loan facilities consist of a $500.0 million term loan that matures on January 3, 2028 (the “Term 1 Loan”), a $300.0 million term loan that matures on January 22, 2030 (the “Term 2 Loan”) and a $300.0 million term loan that matures on January 22, 2029 (the “Term 3 Loan”). The maturity date of the Revolving Credit Facility, Term 1 Loan and Term 3 Loan may be extended for two additional six-month periods upon the payment of applicable fees and satisfaction of certain standard conditions. As of December 31, 2025, we had $400.0 million of borrowing capacity under the Revolving Credit Facility.</w:t>
      </w:r>
    </w:p>
    <w:p>
      <w:pPr>
        <w:spacing w:after="0" w:line="211"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Additional information about the Amended Credit Facility, including a summary of significant covenants, can be found in Note 5 to the accompanying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48"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As of December 31, 2025, we had $68.1 million of unrestricted corporate cash and $35.1 million of restricted cash, and no outstanding borrowings on our Revolving Credit Facility.</w:t>
      </w:r>
    </w:p>
    <w:p>
      <w:pPr>
        <w:spacing w:after="0" w:line="190" w:lineRule="exact"/>
        <w:rPr>
          <w:sz w:val="20"/>
          <w:szCs w:val="20"/>
          <w:color w:val="auto"/>
        </w:rPr>
      </w:pPr>
    </w:p>
    <w:p>
      <w:pPr>
        <w:jc w:val="both"/>
        <w:ind w:right="20" w:firstLine="400"/>
        <w:spacing w:after="0" w:line="276" w:lineRule="auto"/>
        <w:rPr>
          <w:sz w:val="20"/>
          <w:szCs w:val="20"/>
          <w:color w:val="auto"/>
        </w:rPr>
      </w:pPr>
      <w:r>
        <w:rPr>
          <w:rFonts w:ascii="Times New Roman" w:cs="Times New Roman" w:eastAsia="Times New Roman" w:hAnsi="Times New Roman"/>
          <w:sz w:val="18"/>
          <w:szCs w:val="18"/>
          <w:color w:val="auto"/>
        </w:rPr>
        <w:t>Our net cash provided by operations was $243.7 million for the year ended December 31, 2025. Our cash from operations generally consists of the net cash flow from hotel operations, offset by cash paid for corporate expenses, interest payments, and other working capital changes.</w:t>
      </w:r>
    </w:p>
    <w:p>
      <w:pPr>
        <w:spacing w:after="0" w:line="190"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Our net cash provided by investing activities was $7.5 million for the year ended December 31, 2025, which consisted of $89.0 million of proceeds from the sale of Westin Washington D.C. City Center offset by $81.6 million of capital expenditures.</w:t>
      </w:r>
    </w:p>
    <w:p>
      <w:pPr>
        <w:spacing w:after="0" w:line="190"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Our net cash used in financing activities was $276.7 million for the year ended December 31, 2025, which consisted of $295.8 million of mortgage debt principal payments, $119.0 million paid for the redemption of our preferred stock, $98.3 million of distributions paid to holders of common stock and common units, $37.1 million of common shares repurchased under our share repurchase program, $11.6 million of financing costs, $9.8 million of distributions paid to holders of preferred stock, $5.1 million paid to repurchase shares upon the vesting of restricted stock for the payment of tax withholdings obligations, partially offset by $300.0 million of term loan proceeds.</w:t>
      </w:r>
    </w:p>
    <w:p>
      <w:pPr>
        <w:spacing w:after="0" w:line="211"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We currently anticipate our significant sources of cash for the year ending December 31, 2026 will be net cash flow from hotel operations and potential dispositions. We expect our estimated uses of cash for the year ending December 31, 2026 will be debt service payments, potential acquisitions of hotel properties, capital expenditures, distributions to common stockholders, share repurchases, and corporate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48"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We intend to distribute to our stockholders dividends at least equal to our REIT taxable income to avoid paying corporate income tax and excise tax on our earnings (other than the earnings of our taxable REIT subsidiaries, which are all subject to tax at regular corporate rates) and to qualify for the tax</w:t>
      </w:r>
    </w:p>
    <w:p>
      <w:pPr>
        <w:spacing w:after="0" w:line="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benefits afforded to REITs under the Code. In order to maintain our qualification as a REIT, we are required to distribute to our stockholders each year at least:</w:t>
      </w:r>
    </w:p>
    <w:p>
      <w:pPr>
        <w:sectPr>
          <w:pgSz w:w="11900" w:h="16838" w:orient="portrait"/>
          <w:cols w:equalWidth="0" w:num="1">
            <w:col w:w="11240"/>
          </w:cols>
          <w:pgMar w:left="320" w:top="3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ind w:left="720" w:hanging="314"/>
        <w:spacing w:after="0" w:line="276" w:lineRule="auto"/>
        <w:tabs>
          <w:tab w:leader="none" w:pos="7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REIT taxable income, determined before the deduction for dividends paid and excluding any net capital gain (which does not necessarily equal net income as calculated in accordance with U.S. GAAP); plus</w:t>
      </w:r>
    </w:p>
    <w:p>
      <w:pPr>
        <w:spacing w:after="0" w:line="190"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the excess of our net income from foreclosure property over the tax imposed on such income by the Code; less</w:t>
      </w:r>
    </w:p>
    <w:p>
      <w:pPr>
        <w:spacing w:after="0" w:line="246"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non-cash income (as determined under the Code).</w:t>
      </w:r>
    </w:p>
    <w:p>
      <w:pPr>
        <w:spacing w:after="0" w:line="246"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The timing and frequency of distributions will be authorized by our board of directors and declared by us based upon a variety of factors, including our financial performance, restrictions under applicable law and our current and future loan agreements, our debt service requirements, our capital expenditure requirements, the requirements for qualification as a REIT under the Code and other factors that our board of directors may deem relevant from time to time. Information about our distributions declared and paid can be found in Note 9 to the accompanying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48"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The management and franchise agreements for each of our hotels provide for the establishment of separate property improvement reserves to cover, among other things, the cost of replacing and repairing furniture, fixtures and equipment at our hotels and other routine capital expenditures. Contributions to the property improvement fund are calculated as a percentage of hotel revenues. In addition, we may be required to pay for the cost of certain additional improvements that are not permitted to be funded from the property improvement reserves under the applicable management or franchise agreement. As of December 31, 2025, we have set aside $35.1 million for capital projects in property improvement funds, which are included in restricted cash on our consolidated balance sheets.</w:t>
      </w:r>
    </w:p>
    <w:p>
      <w:pPr>
        <w:spacing w:after="0" w:line="210"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We invested approximately $81.6 million in capital improvements at our hotels during the year ended December 31, 2025. Completed projects in 2025 included the following:</w:t>
      </w:r>
    </w:p>
    <w:p>
      <w:pPr>
        <w:spacing w:after="0" w:line="186" w:lineRule="exact"/>
        <w:rPr>
          <w:sz w:val="20"/>
          <w:szCs w:val="20"/>
          <w:color w:val="auto"/>
        </w:rPr>
      </w:pPr>
    </w:p>
    <w:p>
      <w:pPr>
        <w:ind w:left="640" w:hanging="314"/>
        <w:spacing w:after="0"/>
        <w:tabs>
          <w:tab w:leader="none" w:pos="64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Hilton Garden Inn New York/Times Square Central: </w:t>
      </w:r>
      <w:r>
        <w:rPr>
          <w:rFonts w:ascii="Times New Roman" w:cs="Times New Roman" w:eastAsia="Times New Roman" w:hAnsi="Times New Roman"/>
          <w:sz w:val="18"/>
          <w:szCs w:val="18"/>
          <w:color w:val="auto"/>
        </w:rPr>
        <w:t>We completed a renovation of the hotel's guestrooms during the first quarter of 2025.</w:t>
      </w:r>
    </w:p>
    <w:p>
      <w:pPr>
        <w:spacing w:after="0" w:line="29" w:lineRule="exact"/>
        <w:rPr>
          <w:rFonts w:ascii="Times New Roman" w:cs="Times New Roman" w:eastAsia="Times New Roman" w:hAnsi="Times New Roman"/>
          <w:sz w:val="18"/>
          <w:szCs w:val="18"/>
          <w:i w:val="1"/>
          <w:iCs w:val="1"/>
          <w:color w:val="auto"/>
        </w:rPr>
      </w:pPr>
    </w:p>
    <w:p>
      <w:pPr>
        <w:jc w:val="both"/>
        <w:ind w:left="640" w:hanging="314"/>
        <w:spacing w:after="0" w:line="247"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Sedona Repositioning: </w:t>
      </w:r>
      <w:r>
        <w:rPr>
          <w:rFonts w:ascii="Times New Roman" w:cs="Times New Roman" w:eastAsia="Times New Roman" w:hAnsi="Times New Roman"/>
          <w:sz w:val="18"/>
          <w:szCs w:val="18"/>
          <w:color w:val="auto"/>
        </w:rPr>
        <w:t>We completed the repositioning of Orchards Inn as the Cliffs at L'Auberge during the third quarter of 2025, which integrated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hotel with the adjacent L'Auberge de Sedona and included construction of a new hillside pool and path connecting the two properties, renovation of the guestrooms and creation of a new arrival experience and new outdoor event space. The renovation of the guestrooms, arrival experience and event space was completed in May 2025 and the pool and path connection were completed in September 2025.</w:t>
      </w:r>
    </w:p>
    <w:p>
      <w:pPr>
        <w:ind w:left="640" w:hanging="314"/>
        <w:spacing w:after="0"/>
        <w:tabs>
          <w:tab w:leader="none" w:pos="64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Kimpton Hotel Palomar Phoenix: </w:t>
      </w:r>
      <w:r>
        <w:rPr>
          <w:rFonts w:ascii="Times New Roman" w:cs="Times New Roman" w:eastAsia="Times New Roman" w:hAnsi="Times New Roman"/>
          <w:sz w:val="18"/>
          <w:szCs w:val="18"/>
          <w:color w:val="auto"/>
        </w:rPr>
        <w:t>We completed a renovation of the hotel's guestrooms during the third quarter of 2025.</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expect to spend approximately $80 to $90 million in capital improvements at our hotels in 2026. Significant projects in 2026 include the following:</w:t>
      </w:r>
    </w:p>
    <w:p>
      <w:pPr>
        <w:spacing w:after="0" w:line="254" w:lineRule="exact"/>
        <w:rPr>
          <w:sz w:val="20"/>
          <w:szCs w:val="20"/>
          <w:color w:val="auto"/>
        </w:rPr>
      </w:pPr>
    </w:p>
    <w:p>
      <w:pPr>
        <w:ind w:left="640" w:right="160" w:hanging="314"/>
        <w:spacing w:after="0" w:line="260"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Courtyard New York Manhattan/Midtown East: </w:t>
      </w:r>
      <w:r>
        <w:rPr>
          <w:rFonts w:ascii="Times New Roman" w:cs="Times New Roman" w:eastAsia="Times New Roman" w:hAnsi="Times New Roman"/>
          <w:sz w:val="18"/>
          <w:szCs w:val="18"/>
          <w:color w:val="auto"/>
        </w:rPr>
        <w:t>We commenced a renovation of the hotel's guestrooms, which is expected to be completed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 of the first quarter of 2026.</w:t>
      </w:r>
    </w:p>
    <w:p>
      <w:pPr>
        <w:spacing w:after="0" w:line="1" w:lineRule="exact"/>
        <w:rPr>
          <w:rFonts w:ascii="Times New Roman" w:cs="Times New Roman" w:eastAsia="Times New Roman" w:hAnsi="Times New Roman"/>
          <w:sz w:val="18"/>
          <w:szCs w:val="18"/>
          <w:color w:val="auto"/>
        </w:rPr>
      </w:pPr>
    </w:p>
    <w:p>
      <w:pPr>
        <w:ind w:left="640" w:right="360" w:hanging="314"/>
        <w:spacing w:after="0" w:line="247"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Henderson Park Inn: </w:t>
      </w:r>
      <w:r>
        <w:rPr>
          <w:rFonts w:ascii="Times New Roman" w:cs="Times New Roman" w:eastAsia="Times New Roman" w:hAnsi="Times New Roman"/>
          <w:sz w:val="18"/>
          <w:szCs w:val="18"/>
          <w:color w:val="auto"/>
        </w:rPr>
        <w:t>We commenced a renovation of the hotel's guestrooms and bathrooms, which is expected to be completed during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of 2026.</w:t>
      </w:r>
    </w:p>
    <w:p>
      <w:pPr>
        <w:ind w:left="640" w:right="40" w:hanging="314"/>
        <w:spacing w:after="0" w:line="247"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Westin San Diego Bayview: </w:t>
      </w:r>
      <w:r>
        <w:rPr>
          <w:rFonts w:ascii="Times New Roman" w:cs="Times New Roman" w:eastAsia="Times New Roman" w:hAnsi="Times New Roman"/>
          <w:sz w:val="18"/>
          <w:szCs w:val="18"/>
          <w:color w:val="auto"/>
        </w:rPr>
        <w:t>We expect to commence a renovation of the entrance and public spaces throughout the lobby, including the lobby bar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mid-2026.</w:t>
      </w:r>
    </w:p>
    <w:p>
      <w:pPr>
        <w:ind w:left="640" w:hanging="314"/>
        <w:spacing w:after="0"/>
        <w:tabs>
          <w:tab w:leader="none" w:pos="64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Atlanta Marriott Alpharetta: </w:t>
      </w:r>
      <w:r>
        <w:rPr>
          <w:rFonts w:ascii="Times New Roman" w:cs="Times New Roman" w:eastAsia="Times New Roman" w:hAnsi="Times New Roman"/>
          <w:sz w:val="18"/>
          <w:szCs w:val="18"/>
          <w:color w:val="auto"/>
        </w:rPr>
        <w:t>We expect to commence a renovation of the hotel's guestrooms during the fourth quarter of 2026.</w:t>
      </w:r>
    </w:p>
    <w:p>
      <w:pPr>
        <w:spacing w:after="0" w:line="6" w:lineRule="exact"/>
        <w:rPr>
          <w:rFonts w:ascii="Times New Roman" w:cs="Times New Roman" w:eastAsia="Times New Roman" w:hAnsi="Times New Roman"/>
          <w:sz w:val="18"/>
          <w:szCs w:val="18"/>
          <w:b w:val="1"/>
          <w:bCs w:val="1"/>
          <w:i w:val="1"/>
          <w:iCs w:val="1"/>
          <w:color w:val="auto"/>
        </w:rPr>
      </w:pPr>
    </w:p>
    <w:p>
      <w:pPr>
        <w:ind w:left="600" w:hanging="274"/>
        <w:spacing w:after="0"/>
        <w:tabs>
          <w:tab w:leader="none" w:pos="600" w:val="left"/>
        </w:tabs>
        <w:numPr>
          <w:ilvl w:val="0"/>
          <w:numId w:val="32"/>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Kimpton Shorebreak Huntington Beach Resort: </w:t>
      </w:r>
      <w:r>
        <w:rPr>
          <w:rFonts w:ascii="Times New Roman" w:cs="Times New Roman" w:eastAsia="Times New Roman" w:hAnsi="Times New Roman"/>
          <w:sz w:val="18"/>
          <w:szCs w:val="18"/>
          <w:color w:val="auto"/>
        </w:rPr>
        <w:t>We expect to commence a renovation of the hotel's guestrooms during the fourth quarter of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4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use the following non-GAAP financial measures that we believe are useful to investors as key measures of our operating performance: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 Hotel Adjusted EBITDA, FFO and Adjusted FFO. These measures should not be considered in isolation or as a substitute for measures of performance in accordance with U.S. GAAP.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 Hotel Adjusted EBITDA, FFO and Adjusted FFO, as calculated by us, may not be comparable to other companies that do not define such terms exactly as the Company.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and Limitations of Non-GAAP Financial Measures</w:t>
      </w:r>
    </w:p>
    <w:p>
      <w:pPr>
        <w:spacing w:after="0" w:line="248"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Our management and Board of Directors use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 Hotel Adjusted EBITDA, FFO and Adjusted FFO to evaluate the performance of our hotels and to facilitate comparisons between us and other lodging REITs, hotel owners who are not REITs and other capital intensive companies. The use of these non-GAAP financial measures has certain limitations. These non-GAAP financial measures as presented by us, may not be comparable to non-GAAP financial measures as calculated by other real estate companies. These measures do not reflect certain expenses or expenditures that we incurred and will incur, such as depreciation, interest and capital expenditures. We compensate for these limitations by separately considering the impact of these excluded items to the extent they are material to operating decisions or assessments of our operating performance. Our reconciliations to the most comparable U.S. GAAP financial measures, and our consolidated statements of operations and comprehensive income and consolidated statements of cash flows, include interest expense, capital expenditures, and other excluded items, all of which should be considered when evaluating our performance, as well as the usefulness of our non-GAAP financial measures.</w:t>
      </w:r>
    </w:p>
    <w:p>
      <w:pPr>
        <w:spacing w:after="0" w:line="21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These non-GAAP financial measures are used in addition to and in conjunction with results presented in accordance with U.S. GAAP. They should not be considered as alternatives to operating profit, cash flow from operations, or any other operating performance measure prescribed by U.S. GAAP. These non-GAAP financial measures reflect additional ways of viewing our operations that we believe, when viewed with our U.S. GAAP results and the reconciliations to the corresponding U.S. GAAP financial measures, provide a more complete understanding of factors and trends affecting our business than could be obtained absent this disclosure. We strongly encourage investors to review our financial information in its entirety and not to rely on a single financial measure.</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EBITDA and EBITDA</w:t>
      </w:r>
      <w:r>
        <w:rPr>
          <w:rFonts w:ascii="Times New Roman" w:cs="Times New Roman" w:eastAsia="Times New Roman" w:hAnsi="Times New Roman"/>
          <w:sz w:val="18"/>
          <w:szCs w:val="18"/>
          <w:b w:val="1"/>
          <w:bCs w:val="1"/>
          <w:color w:val="auto"/>
        </w:rPr>
        <w:t>re</w:t>
      </w:r>
    </w:p>
    <w:p>
      <w:pPr>
        <w:spacing w:after="0" w:line="25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EBITDA represents net income (calculated in accordance with U.S. GAAP) excluding: (1) interest expense; (2) provision for income taxes, including income taxes applicable to sale of assets; and (3) depreciation and amortization. The Company computes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in accordance with the National Association of Real Estate Investment Trusts (“Nareit”) guidelines, as defined in its September 2017 white paper “Earnings Before Interest,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represents net income (calculated in accordance with U.S. GAAP) adjusted for: (1) interest expense; (2) provision for income taxes, including income taxes applicable to sale of assets; (3) depreciation and amortization; (4) gains or losses on the disposition of depreciated property including gains or losses on change of control; (5) impairment write-downs of depreciated property and of investments in unconsolidated affiliates caused by a decrease in value of depreciated property in the affiliate; and (6)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212"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color w:val="auto"/>
        </w:rPr>
        <w:t>We believe EBITDA and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are useful to an investor in evaluating our operating performance because they help investors evaluate and compare the results of our operations from period to period by removing the impact of our capital structure (primarily interest expense) and our asset base (primarily depreciation and amortization, and in the case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impairment and gains or losses on dispositions of depreciated property) from our operating results. In addition, covenants included in our debt agreements use EBITDA as a measure of financial compliance. We also use EBITDA and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as measures in determining the value of hotel acquisitions and dispositions.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FFO</w:t>
      </w:r>
    </w:p>
    <w:p>
      <w:pPr>
        <w:spacing w:after="0" w:line="25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compute FFO in accordance with standards established by Nareit, which defines FFO as net income (calculated in accordance with U.S. GAAP) excluding gains or losses from sales of properties and impairment losses, plus real estate related depreciation and amortization. We believe that the presentation of FFO provides useful information to investors regarding its operating performance because it is a measure of our operations without regard to specified non-cash items, such as real estate related depreciation and amortization and gains or losses on the sale of assets. We also use FFO as one measure in assessing our operating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EBITDAre and FFO</w:t>
      </w:r>
    </w:p>
    <w:p>
      <w:pPr>
        <w:spacing w:after="0" w:line="24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adjust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FFO when evaluating our performance because we believe that the exclusion of certain additional items described below provides useful supplemental information to investors regarding our ongoing operating performance and that the presentation of Adjusted EBITDA and Adjusted FFO when combined with U.S. GAAP net income,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FFO, is beneficial to an investor's complete understanding of our consolidated and property-level operating performance. We adjust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FFO for the following items: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3" w:lineRule="exact"/>
        <w:rPr>
          <w:sz w:val="20"/>
          <w:szCs w:val="20"/>
          <w:color w:val="auto"/>
        </w:rPr>
      </w:pPr>
    </w:p>
    <w:p>
      <w:pPr>
        <w:jc w:val="both"/>
        <w:ind w:left="800" w:hanging="234"/>
        <w:spacing w:after="0" w:line="257" w:lineRule="auto"/>
        <w:tabs>
          <w:tab w:leader="none" w:pos="79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Non-Cash Lease Expense and Other Amortization</w:t>
      </w:r>
      <w:r>
        <w:rPr>
          <w:rFonts w:ascii="Times New Roman" w:cs="Times New Roman" w:eastAsia="Times New Roman" w:hAnsi="Times New Roman"/>
          <w:sz w:val="18"/>
          <w:szCs w:val="18"/>
          <w:color w:val="auto"/>
        </w:rPr>
        <w:t>: We exclude the non-cash expense incurred from the straight line recognition of expense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ground leases and other contractual obligations and the non-cash amortization of our favorable and unfavorable contracts, originally recorded in conjunction with certain hotel acquisitions. We exclude these non-cash items because they do not reflect the actual cash amounts due to the respective lessors in the current period and they are of lesser significance in evaluating our actual performance for that period.</w:t>
      </w:r>
    </w:p>
    <w:p>
      <w:pPr>
        <w:spacing w:after="0" w:line="206" w:lineRule="exact"/>
        <w:rPr>
          <w:rFonts w:ascii="Times New Roman" w:cs="Times New Roman" w:eastAsia="Times New Roman" w:hAnsi="Times New Roman"/>
          <w:sz w:val="18"/>
          <w:szCs w:val="18"/>
          <w:i w:val="1"/>
          <w:iCs w:val="1"/>
          <w:color w:val="auto"/>
        </w:rPr>
      </w:pPr>
    </w:p>
    <w:p>
      <w:pPr>
        <w:jc w:val="both"/>
        <w:ind w:left="800" w:hanging="234"/>
        <w:spacing w:after="0" w:line="257" w:lineRule="auto"/>
        <w:tabs>
          <w:tab w:leader="none" w:pos="79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Cumulative Effect of a Change in Accounting Principle</w:t>
      </w:r>
      <w:r>
        <w:rPr>
          <w:rFonts w:ascii="Times New Roman" w:cs="Times New Roman" w:eastAsia="Times New Roman" w:hAnsi="Times New Roman"/>
          <w:sz w:val="18"/>
          <w:szCs w:val="18"/>
          <w:color w:val="auto"/>
        </w:rPr>
        <w:t>: The Financial Accounting Standards Board promulgates new accounting standards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or permit the consolidated statement of operations and comprehensive income to reflect the cumulative effect of a change in accounting principle. We exclude the effect of these adjustments, which include the accounting impact from prior periods, because they do not reflect the Company’s actual underlying performance for the current period.</w:t>
      </w:r>
    </w:p>
    <w:p>
      <w:pPr>
        <w:spacing w:after="0" w:line="206" w:lineRule="exact"/>
        <w:rPr>
          <w:rFonts w:ascii="Times New Roman" w:cs="Times New Roman" w:eastAsia="Times New Roman" w:hAnsi="Times New Roman"/>
          <w:sz w:val="18"/>
          <w:szCs w:val="18"/>
          <w:i w:val="1"/>
          <w:iCs w:val="1"/>
          <w:color w:val="auto"/>
        </w:rPr>
      </w:pPr>
    </w:p>
    <w:p>
      <w:pPr>
        <w:jc w:val="both"/>
        <w:ind w:left="800" w:hanging="234"/>
        <w:spacing w:after="0" w:line="263" w:lineRule="auto"/>
        <w:tabs>
          <w:tab w:leader="none" w:pos="79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Gains or Losses from Debt Extinguishment</w:t>
      </w:r>
      <w:r>
        <w:rPr>
          <w:rFonts w:ascii="Times New Roman" w:cs="Times New Roman" w:eastAsia="Times New Roman" w:hAnsi="Times New Roman"/>
          <w:sz w:val="18"/>
          <w:szCs w:val="18"/>
          <w:color w:val="auto"/>
        </w:rPr>
        <w:t>: We exclude the effect of gains or losses recorded on the debt extinguishment because these gains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result from transaction activity related to the Company’s capital structure that we believe are not indicative of the ongoing operating performance of the Company or our hotels.</w:t>
      </w:r>
    </w:p>
    <w:p>
      <w:pPr>
        <w:spacing w:after="0" w:line="199" w:lineRule="exact"/>
        <w:rPr>
          <w:rFonts w:ascii="Times New Roman" w:cs="Times New Roman" w:eastAsia="Times New Roman" w:hAnsi="Times New Roman"/>
          <w:sz w:val="18"/>
          <w:szCs w:val="18"/>
          <w:i w:val="1"/>
          <w:iCs w:val="1"/>
          <w:color w:val="auto"/>
        </w:rPr>
      </w:pPr>
    </w:p>
    <w:p>
      <w:pPr>
        <w:ind w:left="800" w:hanging="234"/>
        <w:spacing w:after="0" w:line="278" w:lineRule="auto"/>
        <w:tabs>
          <w:tab w:leader="none" w:pos="79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Hotel Acquisition Costs</w:t>
      </w:r>
      <w:r>
        <w:rPr>
          <w:rFonts w:ascii="Times New Roman" w:cs="Times New Roman" w:eastAsia="Times New Roman" w:hAnsi="Times New Roman"/>
          <w:sz w:val="18"/>
          <w:szCs w:val="18"/>
          <w:color w:val="auto"/>
        </w:rPr>
        <w:t>: We exclude hotel acquisition costs expensed during the period because we believe these transaction costs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reflective of the ongoing performance of the Company or our hotels.</w:t>
      </w:r>
    </w:p>
    <w:p>
      <w:pPr>
        <w:spacing w:after="0" w:line="186" w:lineRule="exact"/>
        <w:rPr>
          <w:rFonts w:ascii="Times New Roman" w:cs="Times New Roman" w:eastAsia="Times New Roman" w:hAnsi="Times New Roman"/>
          <w:sz w:val="18"/>
          <w:szCs w:val="18"/>
          <w:i w:val="1"/>
          <w:iCs w:val="1"/>
          <w:color w:val="auto"/>
        </w:rPr>
      </w:pPr>
    </w:p>
    <w:p>
      <w:pPr>
        <w:jc w:val="both"/>
        <w:ind w:left="800" w:hanging="234"/>
        <w:spacing w:after="0" w:line="263" w:lineRule="auto"/>
        <w:tabs>
          <w:tab w:leader="none" w:pos="79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Severance Costs</w:t>
      </w:r>
      <w:r>
        <w:rPr>
          <w:rFonts w:ascii="Times New Roman" w:cs="Times New Roman" w:eastAsia="Times New Roman" w:hAnsi="Times New Roman"/>
          <w:sz w:val="18"/>
          <w:szCs w:val="18"/>
          <w:color w:val="auto"/>
        </w:rPr>
        <w:t>: We exclude corporate severance costs, or reversals thereof, incurred with the termination of corporate-level employees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costs incurred at our hotels related to lease terminations or structured severance programs because we believe these costs do not reflect the ongoing performance of the Company or our hotels.</w:t>
      </w:r>
    </w:p>
    <w:p>
      <w:pPr>
        <w:spacing w:after="0" w:line="199" w:lineRule="exact"/>
        <w:rPr>
          <w:rFonts w:ascii="Times New Roman" w:cs="Times New Roman" w:eastAsia="Times New Roman" w:hAnsi="Times New Roman"/>
          <w:sz w:val="18"/>
          <w:szCs w:val="18"/>
          <w:i w:val="1"/>
          <w:iCs w:val="1"/>
          <w:color w:val="auto"/>
        </w:rPr>
      </w:pPr>
    </w:p>
    <w:p>
      <w:pPr>
        <w:jc w:val="both"/>
        <w:ind w:left="800" w:hanging="234"/>
        <w:spacing w:after="0" w:line="263" w:lineRule="auto"/>
        <w:tabs>
          <w:tab w:leader="none" w:pos="79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Hotel Manager Transition and Hotel Pre-Opening Costs</w:t>
      </w:r>
      <w:r>
        <w:rPr>
          <w:rFonts w:ascii="Times New Roman" w:cs="Times New Roman" w:eastAsia="Times New Roman" w:hAnsi="Times New Roman"/>
          <w:sz w:val="18"/>
          <w:szCs w:val="18"/>
          <w:color w:val="auto"/>
        </w:rPr>
        <w:t>: We exclude the transition costs associated with a change in hotel manager and the pre-opening costs associated with the redevelopment or rebranding of a hotel because we believe these items do not reflect the ongoing performance of the Company or our hotels.</w:t>
      </w:r>
    </w:p>
    <w:p>
      <w:pPr>
        <w:spacing w:after="0" w:line="199" w:lineRule="exact"/>
        <w:rPr>
          <w:rFonts w:ascii="Times New Roman" w:cs="Times New Roman" w:eastAsia="Times New Roman" w:hAnsi="Times New Roman"/>
          <w:sz w:val="18"/>
          <w:szCs w:val="18"/>
          <w:i w:val="1"/>
          <w:iCs w:val="1"/>
          <w:color w:val="auto"/>
        </w:rPr>
      </w:pPr>
    </w:p>
    <w:p>
      <w:pPr>
        <w:jc w:val="both"/>
        <w:ind w:left="800" w:hanging="234"/>
        <w:spacing w:after="0" w:line="263" w:lineRule="auto"/>
        <w:tabs>
          <w:tab w:leader="none" w:pos="79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Share-Based Compensation Expense: </w:t>
      </w:r>
      <w:r>
        <w:rPr>
          <w:rFonts w:ascii="Times New Roman" w:cs="Times New Roman" w:eastAsia="Times New Roman" w:hAnsi="Times New Roman"/>
          <w:sz w:val="18"/>
          <w:szCs w:val="18"/>
          <w:color w:val="auto"/>
        </w:rPr>
        <w:t>We exclude share-based compensation expense as it is a non-cash item. This adjustment aligns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calculation of Adjusted EBITDA for our financial covenant ratios under our credit facility, supporting consistency in our financial reporting and covenant compliance, as well as comparability with our peers.</w:t>
      </w:r>
    </w:p>
    <w:p>
      <w:pPr>
        <w:spacing w:after="0" w:line="199" w:lineRule="exact"/>
        <w:rPr>
          <w:rFonts w:ascii="Times New Roman" w:cs="Times New Roman" w:eastAsia="Times New Roman" w:hAnsi="Times New Roman"/>
          <w:sz w:val="18"/>
          <w:szCs w:val="18"/>
          <w:i w:val="1"/>
          <w:iCs w:val="1"/>
          <w:color w:val="auto"/>
        </w:rPr>
      </w:pPr>
    </w:p>
    <w:p>
      <w:pPr>
        <w:ind w:left="800" w:hanging="234"/>
        <w:spacing w:after="0"/>
        <w:tabs>
          <w:tab w:leader="none" w:pos="800" w:val="left"/>
        </w:tabs>
        <w:numPr>
          <w:ilvl w:val="0"/>
          <w:numId w:val="3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Other Items</w:t>
      </w:r>
      <w:r>
        <w:rPr>
          <w:rFonts w:ascii="Times New Roman" w:cs="Times New Roman" w:eastAsia="Times New Roman" w:hAnsi="Times New Roman"/>
          <w:sz w:val="17"/>
          <w:szCs w:val="17"/>
          <w:color w:val="auto"/>
        </w:rPr>
        <w:t>: From time to time we incur costs or realize gains that we consider outside the ordinary course of business and that we do not believe</w:t>
      </w:r>
    </w:p>
    <w:p>
      <w:pPr>
        <w:spacing w:after="0" w:line="38" w:lineRule="exact"/>
        <w:rPr>
          <w:rFonts w:ascii="Times New Roman" w:cs="Times New Roman" w:eastAsia="Times New Roman" w:hAnsi="Times New Roman"/>
          <w:sz w:val="17"/>
          <w:szCs w:val="17"/>
          <w:i w:val="1"/>
          <w:iCs w:val="1"/>
          <w:color w:val="auto"/>
        </w:rPr>
      </w:pPr>
    </w:p>
    <w:p>
      <w:pPr>
        <w:jc w:val="both"/>
        <w:ind w:left="800"/>
        <w:spacing w:after="0" w:line="249"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reflect the ongoing performance of the Company or our hotels. Such items may include, but are not limited to, the following: non-cash realized gains or losses on our deferred compensation plan assets; management or franchise contract termination fees; terminated transaction costs; gains or losses from legal settlements; costs incurred related to natural disasters; and gains on property insurance claim settlements, other than income related to business interruption insurance.</w:t>
      </w:r>
    </w:p>
    <w:p>
      <w:pPr>
        <w:spacing w:after="0" w:line="215"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In addition, to derive Adjusted FFO, we exclude any unrealized fair value adjustments to interest rate swaps and the portion of our non-cash ground lease expense recognized as interest expense. We exclude these non-cash amounts because they do not reflect the underlying performance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Hotel Adjusted EBITDA</w:t>
      </w:r>
    </w:p>
    <w:p>
      <w:pPr>
        <w:spacing w:after="0" w:line="250" w:lineRule="exact"/>
        <w:rPr>
          <w:sz w:val="20"/>
          <w:szCs w:val="20"/>
          <w:color w:val="auto"/>
        </w:rPr>
      </w:pPr>
    </w:p>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We believe that Hotel Adjusted EBITDA provides our investors with a useful financial measure to evaluate our hotel operating performance, excluding the impact of our capital structure (primarily interest), our asset base (primarily depreciation and amortization), and our corporate-level expenses. With respect to Hotel Adjusted EBITDA, we believe that excluding the effect of corporate-level expenses provides a more complete understanding of the operating results over which individual hotels and third-party management companies have direct control. We believe property-level results provide investors with supplemental information on the ongoing operational performance of our hotels and effectiveness of the third-party management companies operating our business on a property-level basis. Hotel Adjusted EBITDA margins are calculated as Hotel Adjusted EBITDA divided by total hotel revenues.</w:t>
      </w:r>
    </w:p>
    <w:p>
      <w:pPr>
        <w:spacing w:after="0" w:line="198" w:lineRule="exact"/>
        <w:rPr>
          <w:sz w:val="20"/>
          <w:szCs w:val="20"/>
          <w:color w:val="auto"/>
        </w:rPr>
      </w:pPr>
    </w:p>
    <w:p>
      <w:pPr>
        <w:ind w:right="380" w:firstLine="400"/>
        <w:spacing w:after="0" w:line="278" w:lineRule="auto"/>
        <w:rPr>
          <w:sz w:val="20"/>
          <w:szCs w:val="20"/>
          <w:color w:val="auto"/>
        </w:rPr>
      </w:pPr>
      <w:r>
        <w:rPr>
          <w:rFonts w:ascii="Times New Roman" w:cs="Times New Roman" w:eastAsia="Times New Roman" w:hAnsi="Times New Roman"/>
          <w:sz w:val="18"/>
          <w:szCs w:val="18"/>
          <w:color w:val="auto"/>
        </w:rPr>
        <w:t>The following table is a reconciliation of our U.S. GAAP net income to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Adjusted EBITDA and Hotel Adjusted EBITDA (in thousands):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0"/>
        </w:trPr>
        <w:tc>
          <w:tcPr>
            <w:tcW w:w="1340" w:type="dxa"/>
            <w:vAlign w:val="bottom"/>
            <w:tcBorders>
              <w:top w:val="single" w:sz="8" w:color="0000FF"/>
            </w:tcBorders>
          </w:tcPr>
          <w:p>
            <w:pPr>
              <w:spacing w:after="0"/>
              <w:rPr>
                <w:sz w:val="24"/>
                <w:szCs w:val="24"/>
                <w:color w:val="auto"/>
              </w:rPr>
            </w:pPr>
          </w:p>
        </w:tc>
        <w:tc>
          <w:tcPr>
            <w:tcW w:w="5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126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18"/>
                <w:szCs w:val="18"/>
                <w:b w:val="1"/>
                <w:bCs w:val="1"/>
                <w:color w:val="auto"/>
              </w:rPr>
              <w:t>(As Adjusted)</w:t>
            </w:r>
          </w:p>
        </w:tc>
        <w:tc>
          <w:tcPr>
            <w:tcW w:w="112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8"/>
                <w:szCs w:val="18"/>
                <w:b w:val="1"/>
                <w:bCs w:val="1"/>
                <w:color w:val="auto"/>
                <w:w w:val="99"/>
              </w:rPr>
              <w:t>(As Adjusted)</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54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2"/>
                <w:szCs w:val="12"/>
                <w:b w:val="1"/>
                <w:bCs w:val="1"/>
                <w:color w:val="auto"/>
              </w:rPr>
              <w:t>(1)</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47"/>
        </w:trPr>
        <w:tc>
          <w:tcPr>
            <w:tcW w:w="1340" w:type="dxa"/>
            <w:vAlign w:val="bottom"/>
            <w:tcBorders>
              <w:right w:val="single" w:sz="8" w:color="CCEEFF"/>
            </w:tcBorders>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48,250</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86,635</w:t>
            </w:r>
          </w:p>
        </w:tc>
        <w:tc>
          <w:tcPr>
            <w:tcW w:w="0" w:type="dxa"/>
            <w:vAlign w:val="bottom"/>
          </w:tcPr>
          <w:p>
            <w:pPr>
              <w:spacing w:after="0"/>
              <w:rPr>
                <w:sz w:val="1"/>
                <w:szCs w:val="1"/>
                <w:color w:val="auto"/>
              </w:rPr>
            </w:pPr>
          </w:p>
        </w:tc>
      </w:tr>
      <w:tr>
        <w:trPr>
          <w:trHeight w:val="267"/>
        </w:trPr>
        <w:tc>
          <w:tcPr>
            <w:tcW w:w="1340" w:type="dxa"/>
            <w:vAlign w:val="bottom"/>
          </w:tcPr>
          <w:p>
            <w:pPr>
              <w:spacing w:after="0"/>
              <w:rPr>
                <w:sz w:val="23"/>
                <w:szCs w:val="23"/>
                <w:color w:val="auto"/>
              </w:rPr>
            </w:pPr>
          </w:p>
        </w:tc>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62,798</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65,516</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65,072</w:t>
            </w:r>
          </w:p>
        </w:tc>
        <w:tc>
          <w:tcPr>
            <w:tcW w:w="0" w:type="dxa"/>
            <w:vAlign w:val="bottom"/>
          </w:tcPr>
          <w:p>
            <w:pPr>
              <w:spacing w:after="0"/>
              <w:rPr>
                <w:sz w:val="1"/>
                <w:szCs w:val="1"/>
                <w:color w:val="auto"/>
              </w:rPr>
            </w:pPr>
          </w:p>
        </w:tc>
      </w:tr>
      <w:tr>
        <w:trPr>
          <w:trHeight w:val="267"/>
        </w:trPr>
        <w:tc>
          <w:tcPr>
            <w:tcW w:w="1340" w:type="dxa"/>
            <w:vAlign w:val="bottom"/>
            <w:tcBorders>
              <w:right w:val="single" w:sz="8" w:color="CCEEFF"/>
            </w:tcBorders>
          </w:tcPr>
          <w:p>
            <w:pPr>
              <w:spacing w:after="0"/>
              <w:rPr>
                <w:sz w:val="23"/>
                <w:szCs w:val="23"/>
                <w:color w:val="auto"/>
              </w:rPr>
            </w:pPr>
          </w:p>
        </w:tc>
        <w:tc>
          <w:tcPr>
            <w:tcW w:w="5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1,541</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67"/>
        </w:trPr>
        <w:tc>
          <w:tcPr>
            <w:tcW w:w="1340" w:type="dxa"/>
            <w:vAlign w:val="bottom"/>
          </w:tcPr>
          <w:p>
            <w:pPr>
              <w:spacing w:after="0"/>
              <w:rPr>
                <w:sz w:val="23"/>
                <w:szCs w:val="23"/>
                <w:color w:val="auto"/>
              </w:rPr>
            </w:pPr>
          </w:p>
        </w:tc>
        <w:tc>
          <w:tcPr>
            <w:tcW w:w="5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Real estate related depreciation and amortization</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113,107</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113,588</w:t>
            </w:r>
          </w:p>
        </w:tc>
        <w:tc>
          <w:tcPr>
            <w:tcW w:w="1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111,302</w:t>
            </w:r>
          </w:p>
        </w:tc>
        <w:tc>
          <w:tcPr>
            <w:tcW w:w="0" w:type="dxa"/>
            <w:vAlign w:val="bottom"/>
          </w:tcPr>
          <w:p>
            <w:pPr>
              <w:spacing w:after="0"/>
              <w:rPr>
                <w:sz w:val="1"/>
                <w:szCs w:val="1"/>
                <w:color w:val="auto"/>
              </w:rPr>
            </w:pPr>
          </w:p>
        </w:tc>
      </w:tr>
      <w:tr>
        <w:trPr>
          <w:trHeight w:val="247"/>
        </w:trPr>
        <w:tc>
          <w:tcPr>
            <w:tcW w:w="1340" w:type="dxa"/>
            <w:vAlign w:val="bottom"/>
            <w:tcBorders>
              <w:right w:val="single" w:sz="8" w:color="CCEEFF"/>
            </w:tcBorders>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276,616</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228,895</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263,326</w:t>
            </w:r>
          </w:p>
        </w:tc>
        <w:tc>
          <w:tcPr>
            <w:tcW w:w="0" w:type="dxa"/>
            <w:vAlign w:val="bottom"/>
          </w:tcPr>
          <w:p>
            <w:pPr>
              <w:spacing w:after="0"/>
              <w:rPr>
                <w:sz w:val="1"/>
                <w:szCs w:val="1"/>
                <w:color w:val="auto"/>
              </w:rPr>
            </w:pPr>
          </w:p>
        </w:tc>
      </w:tr>
      <w:tr>
        <w:trPr>
          <w:trHeight w:val="267"/>
        </w:trPr>
        <w:tc>
          <w:tcPr>
            <w:tcW w:w="1340" w:type="dxa"/>
            <w:vAlign w:val="bottom"/>
          </w:tcPr>
          <w:p>
            <w:pPr>
              <w:spacing w:after="0"/>
              <w:rPr>
                <w:sz w:val="23"/>
                <w:szCs w:val="23"/>
                <w:color w:val="auto"/>
              </w:rPr>
            </w:pPr>
          </w:p>
        </w:tc>
        <w:tc>
          <w:tcPr>
            <w:tcW w:w="5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Impairment losses</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34,169</w:t>
            </w:r>
          </w:p>
        </w:tc>
        <w:tc>
          <w:tcPr>
            <w:tcW w:w="1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47"/>
        </w:trPr>
        <w:tc>
          <w:tcPr>
            <w:tcW w:w="1340" w:type="dxa"/>
            <w:vAlign w:val="bottom"/>
            <w:tcBorders>
              <w:right w:val="single" w:sz="8" w:color="CCEEFF"/>
            </w:tcBorders>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b w:val="1"/>
                <w:bCs w:val="1"/>
                <w:i w:val="1"/>
                <w:iCs w:val="1"/>
                <w:color w:val="auto"/>
              </w:rPr>
              <w:t>re</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263,064</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264,267</w:t>
            </w:r>
          </w:p>
        </w:tc>
        <w:tc>
          <w:tcPr>
            <w:tcW w:w="0" w:type="dxa"/>
            <w:vAlign w:val="bottom"/>
          </w:tcPr>
          <w:p>
            <w:pPr>
              <w:spacing w:after="0"/>
              <w:rPr>
                <w:sz w:val="1"/>
                <w:szCs w:val="1"/>
                <w:color w:val="auto"/>
              </w:rPr>
            </w:pPr>
          </w:p>
        </w:tc>
      </w:tr>
      <w:tr>
        <w:trPr>
          <w:trHeight w:val="267"/>
        </w:trPr>
        <w:tc>
          <w:tcPr>
            <w:tcW w:w="1340" w:type="dxa"/>
            <w:vAlign w:val="bottom"/>
          </w:tcPr>
          <w:p>
            <w:pPr>
              <w:spacing w:after="0"/>
              <w:rPr>
                <w:sz w:val="23"/>
                <w:szCs w:val="23"/>
                <w:color w:val="auto"/>
              </w:rPr>
            </w:pPr>
          </w:p>
        </w:tc>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Non-cash lease expense and other amortization</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5,970</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6,156</w:t>
            </w:r>
          </w:p>
        </w:tc>
        <w:tc>
          <w:tcPr>
            <w:tcW w:w="0" w:type="dxa"/>
            <w:vAlign w:val="bottom"/>
          </w:tcPr>
          <w:p>
            <w:pPr>
              <w:spacing w:after="0"/>
              <w:rPr>
                <w:sz w:val="1"/>
                <w:szCs w:val="1"/>
                <w:color w:val="auto"/>
              </w:rPr>
            </w:pPr>
          </w:p>
        </w:tc>
      </w:tr>
      <w:tr>
        <w:trPr>
          <w:trHeight w:val="267"/>
        </w:trPr>
        <w:tc>
          <w:tcPr>
            <w:tcW w:w="1340" w:type="dxa"/>
            <w:vAlign w:val="bottom"/>
            <w:tcBorders>
              <w:right w:val="single" w:sz="8" w:color="CCEEFF"/>
            </w:tcBorders>
          </w:tcPr>
          <w:p>
            <w:pPr>
              <w:spacing w:after="0"/>
              <w:rPr>
                <w:sz w:val="23"/>
                <w:szCs w:val="23"/>
                <w:color w:val="auto"/>
              </w:rPr>
            </w:pPr>
          </w:p>
        </w:tc>
        <w:tc>
          <w:tcPr>
            <w:tcW w:w="5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7,458</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9,463</w:t>
            </w:r>
          </w:p>
        </w:tc>
        <w:tc>
          <w:tcPr>
            <w:tcW w:w="0" w:type="dxa"/>
            <w:vAlign w:val="bottom"/>
          </w:tcPr>
          <w:p>
            <w:pPr>
              <w:spacing w:after="0"/>
              <w:rPr>
                <w:sz w:val="1"/>
                <w:szCs w:val="1"/>
                <w:color w:val="auto"/>
              </w:rPr>
            </w:pPr>
          </w:p>
        </w:tc>
      </w:tr>
      <w:tr>
        <w:trPr>
          <w:trHeight w:val="267"/>
        </w:trPr>
        <w:tc>
          <w:tcPr>
            <w:tcW w:w="1340" w:type="dxa"/>
            <w:vAlign w:val="bottom"/>
          </w:tcPr>
          <w:p>
            <w:pPr>
              <w:spacing w:after="0"/>
              <w:rPr>
                <w:sz w:val="23"/>
                <w:szCs w:val="23"/>
                <w:color w:val="auto"/>
              </w:rPr>
            </w:pPr>
          </w:p>
        </w:tc>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Hotel pre-opening costs</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67"/>
        </w:trPr>
        <w:tc>
          <w:tcPr>
            <w:tcW w:w="1340" w:type="dxa"/>
            <w:vAlign w:val="bottom"/>
            <w:tcBorders>
              <w:right w:val="single" w:sz="8" w:color="CCEEFF"/>
            </w:tcBorders>
          </w:tcPr>
          <w:p>
            <w:pPr>
              <w:spacing w:after="0"/>
              <w:rPr>
                <w:sz w:val="23"/>
                <w:szCs w:val="23"/>
                <w:color w:val="auto"/>
              </w:rPr>
            </w:pPr>
          </w:p>
        </w:tc>
        <w:tc>
          <w:tcPr>
            <w:tcW w:w="5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Terminated transaction costs</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7"/>
        </w:trPr>
        <w:tc>
          <w:tcPr>
            <w:tcW w:w="1340" w:type="dxa"/>
            <w:vAlign w:val="bottom"/>
          </w:tcPr>
          <w:p>
            <w:pPr>
              <w:spacing w:after="0"/>
              <w:rPr>
                <w:sz w:val="23"/>
                <w:szCs w:val="23"/>
                <w:color w:val="auto"/>
              </w:rPr>
            </w:pPr>
          </w:p>
        </w:tc>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7"/>
        </w:trPr>
        <w:tc>
          <w:tcPr>
            <w:tcW w:w="1340" w:type="dxa"/>
            <w:vAlign w:val="bottom"/>
            <w:tcBorders>
              <w:right w:val="single" w:sz="8" w:color="CCEEFF"/>
            </w:tcBorders>
          </w:tcPr>
          <w:p>
            <w:pPr>
              <w:spacing w:after="0"/>
              <w:rPr>
                <w:sz w:val="23"/>
                <w:szCs w:val="23"/>
                <w:color w:val="auto"/>
              </w:rPr>
            </w:pPr>
          </w:p>
        </w:tc>
        <w:tc>
          <w:tcPr>
            <w:tcW w:w="5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Severance costs </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20,362</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1340" w:type="dxa"/>
            <w:vAlign w:val="bottom"/>
          </w:tcPr>
          <w:p>
            <w:pPr>
              <w:spacing w:after="0"/>
              <w:rPr>
                <w:sz w:val="21"/>
                <w:szCs w:val="21"/>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297,591</w:t>
            </w:r>
          </w:p>
        </w:tc>
        <w:tc>
          <w:tcPr>
            <w:tcW w:w="140" w:type="dxa"/>
            <w:vAlign w:val="bottom"/>
          </w:tcPr>
          <w:p>
            <w:pPr>
              <w:spacing w:after="0"/>
              <w:rPr>
                <w:sz w:val="21"/>
                <w:szCs w:val="21"/>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297,860</w:t>
            </w:r>
          </w:p>
        </w:tc>
        <w:tc>
          <w:tcPr>
            <w:tcW w:w="140" w:type="dxa"/>
            <w:vAlign w:val="bottom"/>
          </w:tcPr>
          <w:p>
            <w:pPr>
              <w:spacing w:after="0"/>
              <w:rPr>
                <w:sz w:val="21"/>
                <w:szCs w:val="21"/>
                <w:color w:val="auto"/>
              </w:rPr>
            </w:pPr>
          </w:p>
        </w:tc>
        <w:tc>
          <w:tcPr>
            <w:tcW w:w="3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281,132</w:t>
            </w:r>
          </w:p>
        </w:tc>
        <w:tc>
          <w:tcPr>
            <w:tcW w:w="0" w:type="dxa"/>
            <w:vAlign w:val="bottom"/>
          </w:tcPr>
          <w:p>
            <w:pPr>
              <w:spacing w:after="0"/>
              <w:rPr>
                <w:sz w:val="1"/>
                <w:szCs w:val="1"/>
                <w:color w:val="auto"/>
              </w:rPr>
            </w:pPr>
          </w:p>
        </w:tc>
      </w:tr>
      <w:tr>
        <w:trPr>
          <w:trHeight w:val="267"/>
        </w:trPr>
        <w:tc>
          <w:tcPr>
            <w:tcW w:w="1340" w:type="dxa"/>
            <w:vAlign w:val="bottom"/>
            <w:tcBorders>
              <w:right w:val="single" w:sz="8" w:color="CCEEFF"/>
            </w:tcBorders>
          </w:tcPr>
          <w:p>
            <w:pPr>
              <w:spacing w:after="0"/>
              <w:rPr>
                <w:sz w:val="23"/>
                <w:szCs w:val="23"/>
                <w:color w:val="auto"/>
              </w:rPr>
            </w:pPr>
          </w:p>
        </w:tc>
        <w:tc>
          <w:tcPr>
            <w:tcW w:w="5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Corporate expenses</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25,001</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22,577</w:t>
            </w:r>
          </w:p>
        </w:tc>
        <w:tc>
          <w:tcPr>
            <w:tcW w:w="0" w:type="dxa"/>
            <w:vAlign w:val="bottom"/>
          </w:tcPr>
          <w:p>
            <w:pPr>
              <w:spacing w:after="0"/>
              <w:rPr>
                <w:sz w:val="1"/>
                <w:szCs w:val="1"/>
                <w:color w:val="auto"/>
              </w:rPr>
            </w:pPr>
          </w:p>
        </w:tc>
      </w:tr>
      <w:tr>
        <w:trPr>
          <w:trHeight w:val="267"/>
        </w:trPr>
        <w:tc>
          <w:tcPr>
            <w:tcW w:w="1340" w:type="dxa"/>
            <w:vAlign w:val="bottom"/>
          </w:tcPr>
          <w:p>
            <w:pPr>
              <w:spacing w:after="0"/>
              <w:rPr>
                <w:sz w:val="23"/>
                <w:szCs w:val="23"/>
                <w:color w:val="auto"/>
              </w:rPr>
            </w:pPr>
          </w:p>
        </w:tc>
        <w:tc>
          <w:tcPr>
            <w:tcW w:w="5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0" w:type="dxa"/>
            <w:vAlign w:val="bottom"/>
          </w:tcPr>
          <w:p>
            <w:pPr>
              <w:spacing w:after="0"/>
              <w:rPr>
                <w:sz w:val="1"/>
                <w:szCs w:val="1"/>
                <w:color w:val="auto"/>
              </w:rPr>
            </w:pPr>
          </w:p>
        </w:tc>
      </w:tr>
      <w:tr>
        <w:trPr>
          <w:trHeight w:val="245"/>
        </w:trPr>
        <w:tc>
          <w:tcPr>
            <w:tcW w:w="1340" w:type="dxa"/>
            <w:vAlign w:val="bottom"/>
            <w:tcBorders>
              <w:right w:val="single" w:sz="8" w:color="CCEEFF"/>
            </w:tcBorders>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Hotel Adjusted EBITDA</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316,828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318,614</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301,156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1880" w:right="240" w:hanging="297"/>
        <w:spacing w:after="0" w:line="253"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2025, we exclude share-based compensation from our calculation of Adjusted EBITDA. Amounts reported for 2024 and 2023 have been adjusted to reflect the current year presentation.</w:t>
      </w:r>
    </w:p>
    <w:p>
      <w:pPr>
        <w:spacing w:after="0" w:line="20" w:lineRule="exact"/>
        <w:rPr>
          <w:rFonts w:ascii="Times New Roman" w:cs="Times New Roman" w:eastAsia="Times New Roman" w:hAnsi="Times New Roman"/>
          <w:sz w:val="14"/>
          <w:szCs w:val="14"/>
          <w:color w:val="auto"/>
        </w:rPr>
      </w:pPr>
    </w:p>
    <w:p>
      <w:pPr>
        <w:ind w:left="1880" w:right="240" w:hanging="297"/>
        <w:spacing w:after="0" w:line="253"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less than $0.1 million, $0.6 million, and $0.7 million of non-cash items related to our deferred compensation plan for the years ended December 31, 2025, 2024, and 2023, respectively.</w:t>
      </w:r>
    </w:p>
    <w:p>
      <w:pPr>
        <w:ind w:left="1880" w:hanging="297"/>
        <w:spacing w:after="0" w:line="198" w:lineRule="auto"/>
        <w:tabs>
          <w:tab w:leader="none" w:pos="1880" w:val="left"/>
        </w:tabs>
        <w:numPr>
          <w:ilvl w:val="0"/>
          <w:numId w:val="3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During the year ended December 31, 2024, we incurred severance costs related to the executive team changes that occurred in April 2024.</w:t>
      </w:r>
    </w:p>
    <w:p>
      <w:pPr>
        <w:spacing w:after="0" w:line="3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is a reconciliation of our U.S. GAAP net income to FFO and Adjusted FFO (in thousands):</w:t>
      </w:r>
    </w:p>
    <w:p>
      <w:pPr>
        <w:spacing w:after="0" w:line="178"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1300" w:type="dxa"/>
            <w:vAlign w:val="bottom"/>
            <w:gridSpan w:val="3"/>
          </w:tcPr>
          <w:p>
            <w:pPr>
              <w:jc w:val="center"/>
              <w:ind w:right="120"/>
              <w:spacing w:after="0" w:line="173" w:lineRule="exact"/>
              <w:rPr>
                <w:sz w:val="20"/>
                <w:szCs w:val="20"/>
                <w:color w:val="auto"/>
              </w:rPr>
            </w:pPr>
            <w:r>
              <w:rPr>
                <w:rFonts w:ascii="Times New Roman" w:cs="Times New Roman" w:eastAsia="Times New Roman" w:hAnsi="Times New Roman"/>
                <w:sz w:val="18"/>
                <w:szCs w:val="18"/>
                <w:b w:val="1"/>
                <w:bCs w:val="1"/>
                <w:color w:val="auto"/>
                <w:w w:val="99"/>
              </w:rPr>
              <w:t>(As Adjusted)</w:t>
            </w:r>
          </w:p>
        </w:tc>
        <w:tc>
          <w:tcPr>
            <w:tcW w:w="116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8"/>
                <w:szCs w:val="18"/>
                <w:b w:val="1"/>
                <w:bCs w:val="1"/>
                <w:color w:val="auto"/>
              </w:rPr>
              <w:t>(As Adjusted)</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2"/>
                <w:szCs w:val="12"/>
                <w:b w:val="1"/>
                <w:bCs w:val="1"/>
                <w:color w:val="auto"/>
              </w:rPr>
              <w:t>(1)</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4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48,250</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86,635</w:t>
            </w:r>
          </w:p>
        </w:tc>
        <w:tc>
          <w:tcPr>
            <w:tcW w:w="0" w:type="dxa"/>
            <w:vAlign w:val="bottom"/>
          </w:tcPr>
          <w:p>
            <w:pPr>
              <w:spacing w:after="0"/>
              <w:rPr>
                <w:sz w:val="1"/>
                <w:szCs w:val="1"/>
                <w:color w:val="auto"/>
              </w:rPr>
            </w:pPr>
          </w:p>
        </w:tc>
      </w:tr>
      <w:tr>
        <w:trPr>
          <w:trHeight w:val="267"/>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related depreciation and amortization</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113,588</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111,302</w:t>
            </w:r>
          </w:p>
        </w:tc>
        <w:tc>
          <w:tcPr>
            <w:tcW w:w="0" w:type="dxa"/>
            <w:vAlign w:val="bottom"/>
          </w:tcPr>
          <w:p>
            <w:pPr>
              <w:spacing w:after="0"/>
              <w:rPr>
                <w:sz w:val="1"/>
                <w:szCs w:val="1"/>
                <w:color w:val="auto"/>
              </w:rPr>
            </w:pPr>
          </w:p>
        </w:tc>
      </w:tr>
      <w:tr>
        <w:trPr>
          <w:trHeight w:val="26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losses</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34,169</w:t>
            </w:r>
          </w:p>
        </w:tc>
        <w:tc>
          <w:tcPr>
            <w:tcW w:w="1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4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FFO</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196,007</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198,878</w:t>
            </w:r>
          </w:p>
        </w:tc>
        <w:tc>
          <w:tcPr>
            <w:tcW w:w="0" w:type="dxa"/>
            <w:vAlign w:val="bottom"/>
          </w:tcPr>
          <w:p>
            <w:pPr>
              <w:spacing w:after="0"/>
              <w:rPr>
                <w:sz w:val="1"/>
                <w:szCs w:val="1"/>
                <w:color w:val="auto"/>
              </w:rPr>
            </w:pPr>
          </w:p>
        </w:tc>
      </w:tr>
      <w:tr>
        <w:trPr>
          <w:trHeight w:val="26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to preferred stockholders</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0" w:type="dxa"/>
            <w:vAlign w:val="bottom"/>
          </w:tcPr>
          <w:p>
            <w:pPr>
              <w:spacing w:after="0"/>
              <w:rPr>
                <w:sz w:val="1"/>
                <w:szCs w:val="1"/>
                <w:color w:val="auto"/>
              </w:rPr>
            </w:pPr>
          </w:p>
        </w:tc>
      </w:tr>
      <w:tr>
        <w:trPr>
          <w:trHeight w:val="24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FFO available to common stock and unit holders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186,190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189,061</w:t>
            </w:r>
          </w:p>
        </w:tc>
        <w:tc>
          <w:tcPr>
            <w:tcW w:w="0" w:type="dxa"/>
            <w:vAlign w:val="bottom"/>
          </w:tcPr>
          <w:p>
            <w:pPr>
              <w:spacing w:after="0"/>
              <w:rPr>
                <w:sz w:val="1"/>
                <w:szCs w:val="1"/>
                <w:color w:val="auto"/>
              </w:rPr>
            </w:pPr>
          </w:p>
        </w:tc>
      </w:tr>
      <w:tr>
        <w:trPr>
          <w:trHeight w:val="26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lease expense and other amortization</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0" w:type="dxa"/>
            <w:vAlign w:val="bottom"/>
          </w:tcPr>
          <w:p>
            <w:pPr>
              <w:spacing w:after="0"/>
              <w:rPr>
                <w:sz w:val="1"/>
                <w:szCs w:val="1"/>
                <w:color w:val="auto"/>
              </w:rPr>
            </w:pPr>
          </w:p>
        </w:tc>
      </w:tr>
      <w:tr>
        <w:trPr>
          <w:trHeight w:val="267"/>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0" w:type="dxa"/>
            <w:vAlign w:val="bottom"/>
          </w:tcPr>
          <w:p>
            <w:pPr>
              <w:spacing w:after="0"/>
              <w:rPr>
                <w:sz w:val="1"/>
                <w:szCs w:val="1"/>
                <w:color w:val="auto"/>
              </w:rPr>
            </w:pPr>
          </w:p>
        </w:tc>
      </w:tr>
      <w:tr>
        <w:trPr>
          <w:trHeight w:val="26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Terminated transaction costs</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7"/>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Severance costs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7"/>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Hotel pre-opening costs</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6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adjustments to interest rate swaps</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FFO available to common stock and unit holders</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226,958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221,108</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207,959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ectPr>
          <w:pgSz w:w="11900" w:h="16838" w:orient="portrait"/>
          <w:cols w:equalWidth="0" w:num="1">
            <w:col w:w="10380"/>
          </w:cols>
          <w:pgMar w:left="320" w:top="346" w:right="119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80"/>
          </w:cols>
          <w:pgMar w:left="320" w:top="346" w:right="11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1880" w:right="1100" w:hanging="396"/>
        <w:spacing w:after="0" w:line="236" w:lineRule="auto"/>
        <w:tabs>
          <w:tab w:leader="none" w:pos="18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2025, we exclude share-based compensation from our calculation of Adjusted FFO. Amounts reported for 2024 and 2023 have been adjusted to reflect the current year presentation.</w:t>
      </w:r>
    </w:p>
    <w:p>
      <w:pPr>
        <w:spacing w:after="0" w:line="96" w:lineRule="exact"/>
        <w:rPr>
          <w:rFonts w:ascii="Times New Roman" w:cs="Times New Roman" w:eastAsia="Times New Roman" w:hAnsi="Times New Roman"/>
          <w:sz w:val="14"/>
          <w:szCs w:val="14"/>
          <w:color w:val="auto"/>
        </w:rPr>
      </w:pPr>
    </w:p>
    <w:p>
      <w:pPr>
        <w:ind w:left="1880" w:right="1100" w:hanging="396"/>
        <w:spacing w:after="0" w:line="236" w:lineRule="auto"/>
        <w:tabs>
          <w:tab w:leader="none" w:pos="18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less than $0.1 million, $0.6 million, and $0.7 million of non-cash items related to our deferred compensation plan for the years ended December 31, 2025, 2024, and 2023, respectively.</w:t>
      </w:r>
    </w:p>
    <w:p>
      <w:pPr>
        <w:spacing w:after="0" w:line="79" w:lineRule="exact"/>
        <w:rPr>
          <w:rFonts w:ascii="Times New Roman" w:cs="Times New Roman" w:eastAsia="Times New Roman" w:hAnsi="Times New Roman"/>
          <w:sz w:val="14"/>
          <w:szCs w:val="14"/>
          <w:color w:val="auto"/>
        </w:rPr>
      </w:pPr>
    </w:p>
    <w:p>
      <w:pPr>
        <w:ind w:left="1880" w:hanging="396"/>
        <w:spacing w:after="0"/>
        <w:tabs>
          <w:tab w:leader="none" w:pos="1880" w:val="left"/>
        </w:tabs>
        <w:numPr>
          <w:ilvl w:val="0"/>
          <w:numId w:val="3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During the year ended December 31, 2024, we incurred severance costs related to the executive team changes that occurred in April 2024.</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248"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DiamondRock Hospitality Company and all consolidated subsidiaries. The preparation of financial statements in conformity with U.S. GAAP requires management to make estimates and assumptions that affect the reported amount of assets and liabilities at the date of our financial statements and the reported amounts of revenues and expenses during the reporting period. While we do not believe the reported amounts would be materially different, application of these policies involves the exercise of judgment and the use of assumptions as to future uncertainties and, as a result, actual results could differ materially from these estimates. We evaluate our estimates and judgments, including those related to the impairment of long-lived assets, on an ongoing basis. We base our estimates on experience and on various assumptions that are believed to be reasonable under the circumstances. All of our significant accounting policies are disclosed in the notes to our consolidated financial statements. The following represent certain critical accounting policies that require us to exercise our business judgment or make significant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Hotels</w:t>
      </w:r>
    </w:p>
    <w:p>
      <w:pPr>
        <w:spacing w:after="0" w:line="248" w:lineRule="exact"/>
        <w:rPr>
          <w:sz w:val="20"/>
          <w:szCs w:val="20"/>
          <w:color w:val="auto"/>
        </w:rPr>
      </w:pPr>
    </w:p>
    <w:p>
      <w:pPr>
        <w:jc w:val="both"/>
        <w:ind w:right="20" w:firstLine="440"/>
        <w:spacing w:after="0" w:line="276" w:lineRule="auto"/>
        <w:rPr>
          <w:sz w:val="20"/>
          <w:szCs w:val="20"/>
          <w:color w:val="auto"/>
        </w:rPr>
      </w:pPr>
      <w:r>
        <w:rPr>
          <w:rFonts w:ascii="Times New Roman" w:cs="Times New Roman" w:eastAsia="Times New Roman" w:hAnsi="Times New Roman"/>
          <w:sz w:val="18"/>
          <w:szCs w:val="18"/>
          <w:color w:val="auto"/>
        </w:rPr>
        <w:t>Property and equipment are recorded at cost. Costs of improvements that extend the economic life or improve service potential, which generally includes significant improvements, renovations and replacements, are capitalized, while repairs and maintenance are expensed as incurred.</w:t>
      </w:r>
    </w:p>
    <w:p>
      <w:pPr>
        <w:spacing w:after="0" w:line="190"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Acquisitions of hotel properties are generally accounted for as acquisitions of a group of assets and recorded at relative fair value based upon total accumulated cost of the acquisition. The acquisition cost is allocated to land, buildings, improvements, furniture, fixtures and equipment, as well as identifiable intangible and lease assets and liabilities. In making estimates of fair values for purposes of allocating purchase price we evaluate several factors, including but not limited to comparable sales, expected future cash flows discounted at risk adjusted rates as well as industry and Company data. Direct acquisition-related costs are capitalized as a component of the acquired assets.</w:t>
      </w:r>
    </w:p>
    <w:p>
      <w:pPr>
        <w:spacing w:after="0" w:line="211"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Depreciation is recorded using the straight-line method over the assets' estimated useful lives, which are generally as follows: 15 to 40 years for buildings and improvements; 1 to 10 years for furniture, fixtures and equipment; and 3 to 5 years for computer equipment and acquired software.</w:t>
      </w:r>
    </w:p>
    <w:p>
      <w:pPr>
        <w:spacing w:after="0" w:line="190" w:lineRule="exact"/>
        <w:rPr>
          <w:sz w:val="20"/>
          <w:szCs w:val="20"/>
          <w:color w:val="auto"/>
        </w:rPr>
      </w:pPr>
    </w:p>
    <w:p>
      <w:pPr>
        <w:jc w:val="both"/>
        <w:ind w:firstLine="440"/>
        <w:spacing w:after="0" w:line="251" w:lineRule="auto"/>
        <w:rPr>
          <w:sz w:val="20"/>
          <w:szCs w:val="20"/>
          <w:color w:val="auto"/>
        </w:rPr>
      </w:pPr>
      <w:r>
        <w:rPr>
          <w:rFonts w:ascii="Times New Roman" w:cs="Times New Roman" w:eastAsia="Times New Roman" w:hAnsi="Times New Roman"/>
          <w:sz w:val="18"/>
          <w:szCs w:val="18"/>
          <w:color w:val="auto"/>
        </w:rPr>
        <w:t>We evaluate the carrying value of our property and equipment for indicators of impairment. Indicators of impairment that may cause a review include, but are not limited to, adverse changes in the demand for lodging at the properties, current or projected losses from operations, and an expectation that the property is more likely than not to be sold significantly before the end of its useful life. When such indicators exist, we perform an analysis to determine the recoverability of the asset group by comparing the estimated undiscounted future cash flows, including the proceeds from the ultimate disposition of a hotel, less costs to sell, to the net carrying value of the asset group. If the carrying value of the asset group is not recoverable and it exceeds the estimated fair value of the asset group, we recognize an impairment loss in our consolidated statement of operations and comprehensive income for the amount by which the carrying value exceeds the estimated fair value. We allocate the impairment loss related to the asset group among the various assets within the asset group pro rata based on the relative carrying values of the respective assets.</w:t>
      </w:r>
    </w:p>
    <w:p>
      <w:pPr>
        <w:spacing w:after="0" w:line="214"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We will classify a hotel as held for sale in the period that we have made the decision to dispose of the hotel, a binding agreement to purchase the property has been signed under which the buyer has committed a significant amount of nonrefundable cash and no significant financing or other contingencies exist which could cause the transaction to not be completed in a timely manner. If these criteria are met, we will record an impairment loss if the fair value less costs to sell is lower than the carrying amount of the hotel and related assets and will cease recording depreciation expense. We will classify the assets and related liabilities as held for sale on the balance sheet.</w:t>
      </w:r>
    </w:p>
    <w:p>
      <w:pPr>
        <w:spacing w:after="0" w:line="211"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Upon the sale or retirement of a fixed asset, the cost and related accumulated depreciation are removed from the Company’s accounts and any resulting gain or loss is included in the statements of operations and comprehensive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ind w:right="60" w:firstLine="400"/>
        <w:spacing w:after="0" w:line="242" w:lineRule="auto"/>
        <w:rPr>
          <w:sz w:val="20"/>
          <w:szCs w:val="20"/>
          <w:color w:val="auto"/>
        </w:rPr>
      </w:pPr>
      <w:r>
        <w:rPr>
          <w:rFonts w:ascii="Times New Roman" w:cs="Times New Roman" w:eastAsia="Times New Roman" w:hAnsi="Times New Roman"/>
          <w:sz w:val="18"/>
          <w:szCs w:val="18"/>
          <w:color w:val="auto"/>
        </w:rPr>
        <w:t>Operators of hotels generally possess the ability to adjust room rates on a daily basis to reflect the effects of inflation. Our management companies may adjust room rates daily, excluding previously contractually committed reservations. However, competitive pressures, demand elasticity, or other market factors may limit the ability of our management companies to increase room rates. Inflation may also affect our operating expenses and the cost of capital improvements, including, without limitation, increases in costs of labor, employee-related benefits, food, commodities and other materials, taxes, property and casualty insurance and utilities. Refer to “Outlook for 2026” above for more information regarding inflation.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48"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The periods during which our hotels experience higher revenues vary from property to property, depending principally upon location and the customer base served. Accordingly, we expect some seasonality in our business. Volatility in our financial performance from the seasonality of the lodging industry could adversely affect our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2 to the accompanying consolidated financial statements for additional information relating to recently issued accounting pronouncements.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8"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Market risk includes risks that arise from changes in interest rates, foreign currency exchange rates, commodity prices, equity prices and other market changes that affect market sensitive instruments. In pursuing our business strategies, the primary market risk to which we are currently exposed and to which we expect to be exposed in the future is interest rate risk. The face amount of our outstanding debt as of December 31, 2025 was $1.1 billion, all of which had a variable interest rate. Our primary sensitivity in 2025 was to changes in one-month Secured Overnight Financing Rate (“SOFR”), as the interest rates on our variable-rate indebtedness were based on this benchmark rate. We use interest rate swaps in order to maintain what we believe to be an appropriate level of exposure to interest rate variability. As of December 31, 2025, the interest rate on $325 million of our variable-rate indebtedness had been effectively fixed through the use of interest rate swaps. In August 2025, we executed an interest rate swap for a notional amount of $75 million, effective January 2, 2026, to replace a maturing swap. In October 2025, we entered into an additional interest rate swap for a notional amount of $50 million, effective January 4, 2027, partially replacing a maturing swap. We receive one-month SOFR and pay a fixed rate for all of our interest rate swaps. If market interest rates on our unhedged variable rate debt fluctuate by 100 basis points, interest expense would increase or decrease, depending on rate movement, future earnings and cash flows, by $7.8 million annually.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Index to the Financial Statements on page F-1.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8"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The Company’s management has evaluated, under the supervision and with the participation of the Company’s Chief Executive Officer and Chief Financial Officer, the effectiveness of the disclosure controls and procedures (as defined in Rules 13a-15(e) and 15d-15(e) under the Securities Exchange Act of 1934, as amended (the “Exchange Act”)), as required by paragraph (b) of Rules 13a-15 and 15d-15 under the Exchange Act, and our Chief Executive Officer and Chief Financial Officer have concluded that as of the end of the period covered by this report, the Company’s disclosure controls and procedures were effective to give reasonable assurances that information we disclose in reports filed with the Securities and Exchange Commission (i) is recorded, processed, summarized and reported within the time periods specified in the Securities and Exchange Commission’s rules and forms and (ii) is accumulated and communicated to our management, including our principal executive officer and principal financial officer, as appropriate to allow timely decisions regarding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identified in connection with the evaluation required by paragraph</w:t>
      </w:r>
    </w:p>
    <w:p>
      <w:pPr>
        <w:spacing w:after="0" w:line="25" w:lineRule="exact"/>
        <w:rPr>
          <w:sz w:val="20"/>
          <w:szCs w:val="20"/>
          <w:color w:val="auto"/>
        </w:rPr>
      </w:pPr>
    </w:p>
    <w:p>
      <w:pPr>
        <w:ind w:firstLine="7"/>
        <w:spacing w:after="0" w:line="254" w:lineRule="auto"/>
        <w:tabs>
          <w:tab w:leader="none" w:pos="2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Rules 13a-15 and 15d-15 under the Exchange Act during the Company’s most recent fiscal quarter that materially affected, or is reasonably likely to materially affect, the Company’s internal control over financial reporting.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48"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report of our management regarding internal control over financial reporting is set forth on page F-2 of this Annual Report on Form 10-K under the caption “Management's Report on Internal Control over Financial Reporting” and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248"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regarding our internal control over financial reporting is set forth on page F-3 of this Annual Report on Form 10-K under the caption “Report of Independent Registered Public Accounting Firm” and 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0"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(as defined in Rule 16a-1(f) of the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8"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information required by Items 10-14 is incorporated by reference to our proxy statement for the 2026 annual meeting of stockholders (to be filed with the SEC not later than 120 days after the end of the fiscal year covered by this report) (“2026 proxy statement”).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50"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the Company's securities that applies to all of our directors, officers, employees and other covered persons. We believe that our insider trading policy is reasonably designed to promote compliance with insider trading laws, rules and regulations, and listing standards applicable to the Company. A copy of the insider trading policy is filed as Exhibit 19 to this Form 10-K. We have also implemented processes for the Company that we believe are designed to promote compliance with insider trading laws, rules and regulations, and applicable listing standards.</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other information required by this item is incorporated by reference to our 2026 proxy statement.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50"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 Information regarding our equity plans set forth in Item 5 of this Annual Report on Form 10-K is incorporated by reference into this Item 12.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independent public accounting firm is KPMG LLP, McLean, Virginia, PCAOB Auditor ID: 185.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48" w:lineRule="exact"/>
        <w:rPr>
          <w:sz w:val="20"/>
          <w:szCs w:val="20"/>
          <w:color w:val="auto"/>
        </w:rPr>
      </w:pPr>
    </w:p>
    <w:p>
      <w:pPr>
        <w:ind w:left="640" w:hanging="314"/>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4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herein at pages F-1 through F-35.</w:t>
      </w:r>
    </w:p>
    <w:p>
      <w:pPr>
        <w:spacing w:after="0" w:line="244"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48" w:lineRule="exact"/>
        <w:rPr>
          <w:rFonts w:ascii="Times New Roman" w:cs="Times New Roman" w:eastAsia="Times New Roman" w:hAnsi="Times New Roman"/>
          <w:sz w:val="18"/>
          <w:szCs w:val="18"/>
          <w:color w:val="auto"/>
        </w:rPr>
      </w:pPr>
    </w:p>
    <w:p>
      <w:pPr>
        <w:ind w:left="640" w:right="4440"/>
        <w:spacing w:after="0" w:line="52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 schedule is included herein on pages F-36 and F-37: Schedule III - Real Estate and Accumulated Depreciation</w:t>
      </w:r>
    </w:p>
    <w:p>
      <w:pPr>
        <w:spacing w:after="0" w:line="1" w:lineRule="exact"/>
        <w:rPr>
          <w:sz w:val="20"/>
          <w:szCs w:val="20"/>
          <w:color w:val="auto"/>
        </w:rPr>
      </w:pPr>
    </w:p>
    <w:p>
      <w:pPr>
        <w:ind w:firstLine="400"/>
        <w:spacing w:after="0" w:line="276" w:lineRule="auto"/>
        <w:rPr>
          <w:sz w:val="20"/>
          <w:szCs w:val="20"/>
          <w:color w:val="auto"/>
        </w:rPr>
      </w:pPr>
      <w:r>
        <w:rPr>
          <w:rFonts w:ascii="Times New Roman" w:cs="Times New Roman" w:eastAsia="Times New Roman" w:hAnsi="Times New Roman"/>
          <w:sz w:val="18"/>
          <w:szCs w:val="18"/>
          <w:color w:val="auto"/>
        </w:rPr>
        <w:t>All other schedules for which provision is made in Regulation S-X are either not required to be included herein under the related instructions or are inapplicable or the related information is included in the footnotes to the applicable financial statement and, therefore, has been omitted.</w:t>
      </w:r>
    </w:p>
    <w:p>
      <w:pPr>
        <w:spacing w:after="0" w:line="188" w:lineRule="exact"/>
        <w:rPr>
          <w:sz w:val="20"/>
          <w:szCs w:val="20"/>
          <w:color w:val="auto"/>
        </w:rPr>
      </w:pPr>
    </w:p>
    <w:p>
      <w:pPr>
        <w:ind w:left="640" w:hanging="314"/>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48" w:lineRule="exact"/>
        <w:rPr>
          <w:sz w:val="20"/>
          <w:szCs w:val="20"/>
          <w:color w:val="auto"/>
        </w:rPr>
      </w:pPr>
    </w:p>
    <w:p>
      <w:pPr>
        <w:ind w:firstLine="400"/>
        <w:spacing w:after="0" w:line="276" w:lineRule="auto"/>
        <w:rPr>
          <w:sz w:val="20"/>
          <w:szCs w:val="20"/>
          <w:color w:val="auto"/>
        </w:rPr>
      </w:pPr>
      <w:r>
        <w:rPr>
          <w:rFonts w:ascii="Times New Roman" w:cs="Times New Roman" w:eastAsia="Times New Roman" w:hAnsi="Times New Roman"/>
          <w:sz w:val="18"/>
          <w:szCs w:val="18"/>
          <w:color w:val="auto"/>
        </w:rPr>
        <w:t>The following exhibits are included in this Annual Report on Form 10-K for the fiscal year ended December 31, 2025 (and are numbered in accordance with Item 601 of Regulation S-K):</w:t>
      </w:r>
    </w:p>
    <w:p>
      <w:pPr>
        <w:sectPr>
          <w:pgSz w:w="11900" w:h="16838" w:orient="portrait"/>
          <w:cols w:equalWidth="0" w:num="1">
            <w:col w:w="11240"/>
          </w:cols>
          <w:pgMar w:left="320" w:top="359" w:right="339" w:bottom="1440" w:gutter="0" w:footer="0" w:header="0"/>
        </w:sectPr>
      </w:pP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11430</wp:posOffset>
            </wp:positionV>
            <wp:extent cx="6686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6"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3.1.1</w:t>
        </w:r>
      </w:hyperlink>
    </w:p>
    <w:p>
      <w:pPr>
        <w:spacing w:after="0" w:line="313"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3.1.2</w:t>
        </w:r>
      </w:hyperlink>
    </w:p>
    <w:p>
      <w:pPr>
        <w:spacing w:after="0" w:line="313"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3.1.3</w:t>
        </w:r>
      </w:hyperlink>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63385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338570" cy="8255"/>
                    </a:xfrm>
                    <a:prstGeom prst="rect">
                      <a:avLst/>
                    </a:prstGeom>
                    <a:noFill/>
                  </pic:spPr>
                </pic:pic>
              </a:graphicData>
            </a:graphic>
          </wp:anchor>
        </w:drawing>
      </w:r>
    </w:p>
    <w:p>
      <w:pPr>
        <w:spacing w:after="0" w:line="12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 xml:space="preserve">Articles of Amendment and Restatement of DiamondRock Hospitality Company </w:t>
      </w:r>
      <w:r>
        <w:rPr>
          <w:rFonts w:ascii="Times New Roman" w:cs="Times New Roman" w:eastAsia="Times New Roman" w:hAnsi="Times New Roman"/>
          <w:sz w:val="18"/>
          <w:szCs w:val="18"/>
          <w:i w:val="1"/>
          <w:iCs w:val="1"/>
          <w:color w:val="auto"/>
        </w:rPr>
        <w:t>(incorporated by reference to the Registrant's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on Form S-11 filed with the Securities and Exchange Commission on March 1, 2005 (File no. 333-123065))</w:t>
      </w:r>
    </w:p>
    <w:p>
      <w:pPr>
        <w:spacing w:after="0" w:line="113" w:lineRule="exact"/>
        <w:rPr>
          <w:sz w:val="20"/>
          <w:szCs w:val="20"/>
          <w:color w:val="auto"/>
        </w:rPr>
      </w:pPr>
    </w:p>
    <w:p>
      <w:pPr>
        <w:ind w:right="480"/>
        <w:spacing w:after="0" w:line="236" w:lineRule="auto"/>
        <w:rPr>
          <w:sz w:val="20"/>
          <w:szCs w:val="20"/>
          <w:color w:val="auto"/>
        </w:rPr>
      </w:pPr>
      <w:r>
        <w:rPr>
          <w:rFonts w:ascii="Times New Roman" w:cs="Times New Roman" w:eastAsia="Times New Roman" w:hAnsi="Times New Roman"/>
          <w:sz w:val="18"/>
          <w:szCs w:val="18"/>
          <w:color w:val="auto"/>
        </w:rPr>
        <w:t xml:space="preserve">Amendment to the Articles of Amendment and Restatement of DiamondRock Hospitality Company </w:t>
      </w:r>
      <w:r>
        <w:rPr>
          <w:rFonts w:ascii="Times New Roman" w:cs="Times New Roman" w:eastAsia="Times New Roman" w:hAnsi="Times New Roman"/>
          <w:sz w:val="18"/>
          <w:szCs w:val="18"/>
          <w:i w:val="1"/>
          <w:iCs w:val="1"/>
          <w:color w:val="auto"/>
        </w:rPr>
        <w:t>(incorporated by reference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Registrant's Current Report on Form 8-K filed with the Securities and Exchange Commission on January 10, 2007)</w:t>
      </w:r>
    </w:p>
    <w:p>
      <w:pPr>
        <w:spacing w:after="0" w:line="113"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 xml:space="preserve">Articles of Amendment to the Articles of Amendment and Restatement of DiamondRock Hospitality Company </w:t>
      </w:r>
      <w:r>
        <w:rPr>
          <w:rFonts w:ascii="Times New Roman" w:cs="Times New Roman" w:eastAsia="Times New Roman" w:hAnsi="Times New Roman"/>
          <w:sz w:val="18"/>
          <w:szCs w:val="18"/>
          <w:i w:val="1"/>
          <w:iCs w:val="1"/>
          <w:color w:val="auto"/>
        </w:rPr>
        <w:t>(incorporated by 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Registrant's Current Report on Form 8-K filed with the Securities and Exchange Commission on July 9, 2012)</w:t>
      </w:r>
    </w:p>
    <w:p>
      <w:pPr>
        <w:spacing w:after="0" w:line="1" w:lineRule="exact"/>
        <w:rPr>
          <w:sz w:val="20"/>
          <w:szCs w:val="20"/>
          <w:color w:val="auto"/>
        </w:rPr>
      </w:pPr>
    </w:p>
    <w:p>
      <w:pPr>
        <w:sectPr>
          <w:pgSz w:w="11900" w:h="16838" w:orient="portrait"/>
          <w:cols w:equalWidth="0" w:num="2">
            <w:col w:w="860" w:space="400"/>
            <w:col w:w="9980"/>
          </w:cols>
          <w:pgMar w:left="320" w:top="359" w:right="339" w:bottom="1440" w:gutter="0" w:footer="0" w:header="0"/>
          <w:type w:val="continuous"/>
        </w:sectPr>
      </w:pPr>
    </w:p>
    <w:tbl>
      <w:tblPr>
        <w:tblLayout w:type="fixed"/>
        <w:tblInd w:w="40" w:type="dxa"/>
        <w:tblCellMar>
          <w:top w:w="0" w:type="dxa"/>
          <w:left w:w="0" w:type="dxa"/>
          <w:bottom w:w="0" w:type="dxa"/>
          <w:right w:w="0" w:type="dxa"/>
        </w:tblCellMar>
      </w:tblPr>
      <w:tr>
        <w:trPr>
          <w:trHeight w:val="200"/>
        </w:trPr>
        <w:tc>
          <w:tcPr>
            <w:tcW w:w="780" w:type="dxa"/>
            <w:vAlign w:val="bottom"/>
            <w:gridSpan w:val="2"/>
          </w:tcPr>
          <w:p>
            <w:pPr>
              <w:jc w:val="right"/>
              <w:ind w:right="420"/>
              <w:spacing w:after="0" w:line="200" w:lineRule="exact"/>
              <w:rPr>
                <w:rFonts w:ascii="Times New Roman" w:cs="Times New Roman" w:eastAsia="Times New Roman" w:hAnsi="Times New Roman"/>
                <w:sz w:val="18"/>
                <w:szCs w:val="18"/>
                <w:color w:val="0000FF"/>
                <w:w w:val="94"/>
              </w:rPr>
            </w:pPr>
            <w:hyperlink r:id="rId96">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1.4</w:t>
              </w:r>
            </w:hyperlink>
          </w:p>
        </w:tc>
        <w:tc>
          <w:tcPr>
            <w:tcW w:w="10280" w:type="dxa"/>
            <w:vAlign w:val="bottom"/>
          </w:tcPr>
          <w:p>
            <w:pPr>
              <w:ind w:left="440"/>
              <w:spacing w:after="0" w:line="200" w:lineRule="exact"/>
              <w:rPr>
                <w:sz w:val="20"/>
                <w:szCs w:val="20"/>
                <w:color w:val="auto"/>
              </w:rPr>
            </w:pPr>
            <w:r>
              <w:rPr>
                <w:rFonts w:ascii="Times New Roman" w:cs="Times New Roman" w:eastAsia="Times New Roman" w:hAnsi="Times New Roman"/>
                <w:sz w:val="18"/>
                <w:szCs w:val="18"/>
                <w:color w:val="auto"/>
              </w:rPr>
              <w:t>Articles Supplementary Prohibiting DiamondRock Hospitality Company From Electing to be Subject to Section 3-803 of the Maryland</w:t>
            </w:r>
          </w:p>
        </w:tc>
      </w:tr>
      <w:tr>
        <w:trPr>
          <w:trHeight w:val="146"/>
        </w:trPr>
        <w:tc>
          <w:tcPr>
            <w:tcW w:w="36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10280" w:type="dxa"/>
            <w:vAlign w:val="bottom"/>
          </w:tcPr>
          <w:p>
            <w:pPr>
              <w:ind w:left="440"/>
              <w:spacing w:after="0" w:line="146" w:lineRule="exact"/>
              <w:rPr>
                <w:sz w:val="20"/>
                <w:szCs w:val="20"/>
                <w:color w:val="auto"/>
              </w:rPr>
            </w:pPr>
            <w:r>
              <w:rPr>
                <w:rFonts w:ascii="Times New Roman" w:cs="Times New Roman" w:eastAsia="Times New Roman" w:hAnsi="Times New Roman"/>
                <w:sz w:val="16"/>
                <w:szCs w:val="16"/>
                <w:color w:val="auto"/>
              </w:rPr>
              <w:t xml:space="preserve">General Corporation Law Absent Stockholder Approval </w:t>
            </w:r>
            <w:r>
              <w:rPr>
                <w:rFonts w:ascii="Times New Roman" w:cs="Times New Roman" w:eastAsia="Times New Roman" w:hAnsi="Times New Roman"/>
                <w:sz w:val="16"/>
                <w:szCs w:val="16"/>
                <w:i w:val="1"/>
                <w:iCs w:val="1"/>
                <w:color w:val="auto"/>
              </w:rPr>
              <w:t>(incorporated by reference to the Registrant’s Current Report on Form 8-K filed</w:t>
            </w:r>
          </w:p>
        </w:tc>
      </w:tr>
      <w:tr>
        <w:trPr>
          <w:trHeight w:val="227"/>
        </w:trPr>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8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with the Securities and Exchange Commission on February 26, 2014)</w:t>
            </w:r>
          </w:p>
        </w:tc>
      </w:tr>
      <w:tr>
        <w:trPr>
          <w:trHeight w:val="194"/>
        </w:trPr>
        <w:tc>
          <w:tcPr>
            <w:tcW w:w="780" w:type="dxa"/>
            <w:vAlign w:val="bottom"/>
            <w:gridSpan w:val="2"/>
          </w:tcPr>
          <w:p>
            <w:pPr>
              <w:jc w:val="right"/>
              <w:ind w:right="420"/>
              <w:spacing w:after="0" w:line="194" w:lineRule="exact"/>
              <w:rPr>
                <w:rFonts w:ascii="Times New Roman" w:cs="Times New Roman" w:eastAsia="Times New Roman" w:hAnsi="Times New Roman"/>
                <w:sz w:val="18"/>
                <w:szCs w:val="18"/>
                <w:color w:val="0000FF"/>
                <w:w w:val="94"/>
              </w:rPr>
            </w:pPr>
            <w:hyperlink r:id="rId97">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1.5</w:t>
              </w:r>
            </w:hyperlink>
          </w:p>
        </w:tc>
        <w:tc>
          <w:tcPr>
            <w:tcW w:w="10280" w:type="dxa"/>
            <w:vAlign w:val="bottom"/>
          </w:tcPr>
          <w:p>
            <w:pPr>
              <w:ind w:left="440"/>
              <w:spacing w:after="0" w:line="194" w:lineRule="exact"/>
              <w:rPr>
                <w:sz w:val="20"/>
                <w:szCs w:val="20"/>
                <w:color w:val="auto"/>
              </w:rPr>
            </w:pPr>
            <w:r>
              <w:rPr>
                <w:rFonts w:ascii="Times New Roman" w:cs="Times New Roman" w:eastAsia="Times New Roman" w:hAnsi="Times New Roman"/>
                <w:sz w:val="18"/>
                <w:szCs w:val="18"/>
                <w:color w:val="auto"/>
                <w:w w:val="98"/>
              </w:rPr>
              <w:t xml:space="preserve">Articles of Amendment to the Articles of Amendment and Restatement of DiamondRock Hospitality Company </w:t>
            </w:r>
            <w:r>
              <w:rPr>
                <w:rFonts w:ascii="Times New Roman" w:cs="Times New Roman" w:eastAsia="Times New Roman" w:hAnsi="Times New Roman"/>
                <w:sz w:val="18"/>
                <w:szCs w:val="18"/>
                <w:i w:val="1"/>
                <w:iCs w:val="1"/>
                <w:color w:val="auto"/>
                <w:w w:val="98"/>
              </w:rPr>
              <w:t>(incorporated by reference</w:t>
            </w:r>
          </w:p>
        </w:tc>
      </w:tr>
      <w:tr>
        <w:trPr>
          <w:trHeight w:val="200"/>
        </w:trPr>
        <w:tc>
          <w:tcPr>
            <w:tcW w:w="36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0280" w:type="dxa"/>
            <w:vAlign w:val="bottom"/>
          </w:tcPr>
          <w:p>
            <w:pPr>
              <w:ind w:left="440"/>
              <w:spacing w:after="0" w:line="200" w:lineRule="exact"/>
              <w:rPr>
                <w:sz w:val="20"/>
                <w:szCs w:val="20"/>
                <w:color w:val="auto"/>
              </w:rPr>
            </w:pPr>
            <w:r>
              <w:rPr>
                <w:rFonts w:ascii="Times New Roman" w:cs="Times New Roman" w:eastAsia="Times New Roman" w:hAnsi="Times New Roman"/>
                <w:sz w:val="18"/>
                <w:szCs w:val="18"/>
                <w:i w:val="1"/>
                <w:iCs w:val="1"/>
                <w:color w:val="auto"/>
              </w:rPr>
              <w:t>to the Registrant’s Current Report on Form 8-K filed with the Securities and Exchange Commission on May 5, 2016)</w:t>
            </w:r>
          </w:p>
        </w:tc>
      </w:tr>
      <w:tr>
        <w:trPr>
          <w:trHeight w:val="194"/>
        </w:trPr>
        <w:tc>
          <w:tcPr>
            <w:tcW w:w="780" w:type="dxa"/>
            <w:vAlign w:val="bottom"/>
            <w:gridSpan w:val="2"/>
          </w:tcPr>
          <w:p>
            <w:pPr>
              <w:jc w:val="right"/>
              <w:ind w:right="420"/>
              <w:spacing w:after="0" w:line="194" w:lineRule="exact"/>
              <w:rPr>
                <w:rFonts w:ascii="Times New Roman" w:cs="Times New Roman" w:eastAsia="Times New Roman" w:hAnsi="Times New Roman"/>
                <w:sz w:val="18"/>
                <w:szCs w:val="18"/>
                <w:color w:val="0000FF"/>
                <w:w w:val="94"/>
              </w:rPr>
            </w:pPr>
            <w:hyperlink r:id="rId98">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1.6</w:t>
              </w:r>
            </w:hyperlink>
          </w:p>
        </w:tc>
        <w:tc>
          <w:tcPr>
            <w:tcW w:w="10280" w:type="dxa"/>
            <w:vAlign w:val="bottom"/>
          </w:tcPr>
          <w:p>
            <w:pPr>
              <w:ind w:left="440"/>
              <w:spacing w:after="0" w:line="194" w:lineRule="exact"/>
              <w:rPr>
                <w:sz w:val="20"/>
                <w:szCs w:val="20"/>
                <w:color w:val="auto"/>
              </w:rPr>
            </w:pPr>
            <w:r>
              <w:rPr>
                <w:rFonts w:ascii="Times New Roman" w:cs="Times New Roman" w:eastAsia="Times New Roman" w:hAnsi="Times New Roman"/>
                <w:sz w:val="18"/>
                <w:szCs w:val="18"/>
                <w:color w:val="212529"/>
                <w:w w:val="98"/>
              </w:rPr>
              <w:t xml:space="preserve">Articles of Amendment to the Articles of Amendment and Restatement of DiamondRock Hospitality Company </w:t>
            </w:r>
            <w:r>
              <w:rPr>
                <w:rFonts w:ascii="Times New Roman" w:cs="Times New Roman" w:eastAsia="Times New Roman" w:hAnsi="Times New Roman"/>
                <w:sz w:val="18"/>
                <w:szCs w:val="18"/>
                <w:i w:val="1"/>
                <w:iCs w:val="1"/>
                <w:color w:val="212529"/>
                <w:w w:val="98"/>
              </w:rPr>
              <w:t>(incorporated by reference</w:t>
            </w:r>
          </w:p>
        </w:tc>
      </w:tr>
      <w:tr>
        <w:trPr>
          <w:trHeight w:val="202"/>
        </w:trPr>
        <w:tc>
          <w:tcPr>
            <w:tcW w:w="36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028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i w:val="1"/>
                <w:iCs w:val="1"/>
                <w:color w:val="212529"/>
              </w:rPr>
              <w:t>to the Registrant’s Current Report on Form 8-K filed with the Securities and Exchange Commission on May 13, 2019)</w:t>
            </w:r>
          </w:p>
        </w:tc>
      </w:tr>
      <w:tr>
        <w:trPr>
          <w:trHeight w:val="192"/>
        </w:trPr>
        <w:tc>
          <w:tcPr>
            <w:tcW w:w="780" w:type="dxa"/>
            <w:vAlign w:val="bottom"/>
            <w:gridSpan w:val="2"/>
          </w:tcPr>
          <w:p>
            <w:pPr>
              <w:jc w:val="right"/>
              <w:ind w:right="420"/>
              <w:spacing w:after="0" w:line="192" w:lineRule="exact"/>
              <w:rPr>
                <w:rFonts w:ascii="Times New Roman" w:cs="Times New Roman" w:eastAsia="Times New Roman" w:hAnsi="Times New Roman"/>
                <w:sz w:val="18"/>
                <w:szCs w:val="18"/>
                <w:color w:val="0000FF"/>
                <w:w w:val="94"/>
              </w:rPr>
            </w:pPr>
            <w:hyperlink r:id="rId99">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1.7</w:t>
              </w:r>
            </w:hyperlink>
          </w:p>
        </w:tc>
        <w:tc>
          <w:tcPr>
            <w:tcW w:w="10280" w:type="dxa"/>
            <w:vAlign w:val="bottom"/>
          </w:tcPr>
          <w:p>
            <w:pPr>
              <w:ind w:left="440"/>
              <w:spacing w:after="0" w:line="192" w:lineRule="exact"/>
              <w:rPr>
                <w:sz w:val="20"/>
                <w:szCs w:val="20"/>
                <w:color w:val="auto"/>
              </w:rPr>
            </w:pPr>
            <w:r>
              <w:rPr>
                <w:rFonts w:ascii="Times New Roman" w:cs="Times New Roman" w:eastAsia="Times New Roman" w:hAnsi="Times New Roman"/>
                <w:sz w:val="18"/>
                <w:szCs w:val="18"/>
                <w:color w:val="auto"/>
              </w:rPr>
              <w:t>Articles Supplementary Designating DiamondRock Hospitality Company's 8.250% Series A Cumulative Redeemable Preferred Stock</w:t>
            </w:r>
          </w:p>
        </w:tc>
      </w:tr>
      <w:tr>
        <w:trPr>
          <w:trHeight w:val="146"/>
        </w:trPr>
        <w:tc>
          <w:tcPr>
            <w:tcW w:w="36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10280" w:type="dxa"/>
            <w:vAlign w:val="bottom"/>
          </w:tcPr>
          <w:p>
            <w:pPr>
              <w:ind w:left="440"/>
              <w:spacing w:after="0" w:line="14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incorporated by reference to the Registrant’s Form 8-A filed with the Securities and Exchange Commission on August 28, 2020 (File No.</w:t>
            </w:r>
          </w:p>
        </w:tc>
      </w:tr>
      <w:tr>
        <w:trPr>
          <w:trHeight w:val="227"/>
        </w:trPr>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8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001-32514)</w:t>
            </w:r>
            <w:r>
              <w:rPr>
                <w:rFonts w:ascii="Times New Roman" w:cs="Times New Roman" w:eastAsia="Times New Roman" w:hAnsi="Times New Roman"/>
                <w:sz w:val="18"/>
                <w:szCs w:val="18"/>
                <w:color w:val="auto"/>
              </w:rPr>
              <w:t>)</w:t>
            </w:r>
          </w:p>
        </w:tc>
      </w:tr>
      <w:tr>
        <w:trPr>
          <w:trHeight w:val="194"/>
        </w:trPr>
        <w:tc>
          <w:tcPr>
            <w:tcW w:w="780" w:type="dxa"/>
            <w:vAlign w:val="bottom"/>
            <w:gridSpan w:val="2"/>
          </w:tcPr>
          <w:p>
            <w:pPr>
              <w:jc w:val="right"/>
              <w:ind w:right="420"/>
              <w:spacing w:after="0" w:line="194" w:lineRule="exact"/>
              <w:rPr>
                <w:rFonts w:ascii="Times New Roman" w:cs="Times New Roman" w:eastAsia="Times New Roman" w:hAnsi="Times New Roman"/>
                <w:sz w:val="18"/>
                <w:szCs w:val="18"/>
                <w:color w:val="0000FF"/>
                <w:w w:val="94"/>
              </w:rPr>
            </w:pPr>
            <w:hyperlink r:id="rId100">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2.1</w:t>
              </w:r>
            </w:hyperlink>
          </w:p>
        </w:tc>
        <w:tc>
          <w:tcPr>
            <w:tcW w:w="10280" w:type="dxa"/>
            <w:vAlign w:val="bottom"/>
          </w:tcPr>
          <w:p>
            <w:pPr>
              <w:ind w:left="440"/>
              <w:spacing w:after="0" w:line="194" w:lineRule="exact"/>
              <w:rPr>
                <w:sz w:val="20"/>
                <w:szCs w:val="20"/>
                <w:color w:val="auto"/>
              </w:rPr>
            </w:pPr>
            <w:r>
              <w:rPr>
                <w:rFonts w:ascii="Times New Roman" w:cs="Times New Roman" w:eastAsia="Times New Roman" w:hAnsi="Times New Roman"/>
                <w:sz w:val="18"/>
                <w:szCs w:val="18"/>
                <w:color w:val="auto"/>
                <w:w w:val="98"/>
              </w:rPr>
              <w:t xml:space="preserve">Fifth Amended and Restated Bylaws of DiamondRock Hospitality </w:t>
            </w:r>
            <w:r>
              <w:rPr>
                <w:rFonts w:ascii="Times New Roman" w:cs="Times New Roman" w:eastAsia="Times New Roman" w:hAnsi="Times New Roman"/>
                <w:sz w:val="18"/>
                <w:szCs w:val="18"/>
                <w:i w:val="1"/>
                <w:iCs w:val="1"/>
                <w:color w:val="auto"/>
                <w:w w:val="98"/>
              </w:rPr>
              <w:t>(incorporated by reference to the Registrant's Current Report on Form</w:t>
            </w:r>
          </w:p>
        </w:tc>
      </w:tr>
      <w:tr>
        <w:trPr>
          <w:trHeight w:val="214"/>
        </w:trPr>
        <w:tc>
          <w:tcPr>
            <w:tcW w:w="36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28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8-K filed with the Securities and Exchange Commission on August 1, 2023)</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720" w:type="dxa"/>
            <w:vAlign w:val="bottom"/>
            <w:gridSpan w:val="2"/>
          </w:tcPr>
          <w:p>
            <w:pPr>
              <w:jc w:val="right"/>
              <w:ind w:right="500"/>
              <w:spacing w:after="0" w:line="179" w:lineRule="exact"/>
              <w:rPr>
                <w:rFonts w:ascii="Times New Roman" w:cs="Times New Roman" w:eastAsia="Times New Roman" w:hAnsi="Times New Roman"/>
                <w:sz w:val="18"/>
                <w:szCs w:val="18"/>
                <w:color w:val="0000FF"/>
                <w:w w:val="88"/>
              </w:rPr>
            </w:pPr>
            <w:hyperlink r:id="rId101">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hyperlink>
          </w:p>
        </w:tc>
        <w:tc>
          <w:tcPr>
            <w:tcW w:w="102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w w:val="98"/>
              </w:rPr>
              <w:t xml:space="preserve">Form of Certificate for Common Stock for DiamondRock Hospitality Company </w:t>
            </w:r>
            <w:r>
              <w:rPr>
                <w:rFonts w:ascii="Times New Roman" w:cs="Times New Roman" w:eastAsia="Times New Roman" w:hAnsi="Times New Roman"/>
                <w:sz w:val="18"/>
                <w:szCs w:val="18"/>
                <w:i w:val="1"/>
                <w:iCs w:val="1"/>
                <w:color w:val="auto"/>
                <w:w w:val="98"/>
              </w:rPr>
              <w:t>(incorporated by reference to the Registrant's Quarterly</w:t>
            </w:r>
          </w:p>
        </w:tc>
        <w:tc>
          <w:tcPr>
            <w:tcW w:w="0" w:type="dxa"/>
            <w:vAlign w:val="bottom"/>
          </w:tcPr>
          <w:p>
            <w:pPr>
              <w:spacing w:after="0"/>
              <w:rPr>
                <w:sz w:val="1"/>
                <w:szCs w:val="1"/>
                <w:color w:val="auto"/>
              </w:rPr>
            </w:pPr>
          </w:p>
        </w:tc>
      </w:tr>
      <w:tr>
        <w:trPr>
          <w:trHeight w:val="73"/>
        </w:trPr>
        <w:tc>
          <w:tcPr>
            <w:tcW w:w="220" w:type="dxa"/>
            <w:vAlign w:val="bottom"/>
            <w:tcBorders>
              <w:top w:val="single" w:sz="8" w:color="0000FF"/>
            </w:tcBorders>
          </w:tcPr>
          <w:p>
            <w:pPr>
              <w:spacing w:after="0"/>
              <w:rPr>
                <w:sz w:val="6"/>
                <w:szCs w:val="6"/>
                <w:color w:val="auto"/>
              </w:rPr>
            </w:pPr>
          </w:p>
        </w:tc>
        <w:tc>
          <w:tcPr>
            <w:tcW w:w="500" w:type="dxa"/>
            <w:vAlign w:val="bottom"/>
          </w:tcPr>
          <w:p>
            <w:pPr>
              <w:spacing w:after="0"/>
              <w:rPr>
                <w:sz w:val="6"/>
                <w:szCs w:val="6"/>
                <w:color w:val="auto"/>
              </w:rPr>
            </w:pPr>
          </w:p>
        </w:tc>
        <w:tc>
          <w:tcPr>
            <w:tcW w:w="10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Report on Form 10-Q filed with the Securities and Exchange Commission on May 5, 2010)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59" w:right="339" w:bottom="1440" w:gutter="0" w:footer="0" w:header="0"/>
          <w:type w:val="continuous"/>
        </w:sectPr>
      </w:pPr>
    </w:p>
    <w:p>
      <w:pPr>
        <w:ind w:left="40"/>
        <w:spacing w:after="0"/>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4.2</w:t>
        </w:r>
      </w:hyperlink>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4.3</w:t>
      </w:r>
      <w:r>
        <w:rPr>
          <w:rFonts w:ascii="Times New Roman" w:cs="Times New Roman" w:eastAsia="Times New Roman" w:hAnsi="Times New Roman"/>
          <w:sz w:val="18"/>
          <w:szCs w:val="18"/>
          <w:color w:val="000000"/>
        </w:rPr>
        <w:t>†</w:t>
      </w:r>
    </w:p>
    <w:p>
      <w:pPr>
        <w:spacing w:after="0" w:line="25"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10.1</w:t>
        </w:r>
      </w:hyperlink>
    </w:p>
    <w:p>
      <w:pPr>
        <w:spacing w:after="0" w:line="20" w:lineRule="exact"/>
        <w:rPr>
          <w:sz w:val="20"/>
          <w:szCs w:val="20"/>
          <w:color w:val="auto"/>
        </w:rPr>
      </w:pPr>
      <w:r>
        <w:rPr>
          <w:sz w:val="20"/>
          <w:szCs w:val="20"/>
          <w:color w:val="auto"/>
        </w:rPr>
        <w:br w:type="column"/>
      </w:r>
    </w:p>
    <w:p>
      <w:pPr>
        <w:spacing w:after="0" w:line="224" w:lineRule="auto"/>
        <w:rPr>
          <w:sz w:val="20"/>
          <w:szCs w:val="20"/>
          <w:color w:val="auto"/>
        </w:rPr>
      </w:pPr>
      <w:r>
        <w:rPr>
          <w:rFonts w:ascii="Times New Roman" w:cs="Times New Roman" w:eastAsia="Times New Roman" w:hAnsi="Times New Roman"/>
          <w:sz w:val="18"/>
          <w:szCs w:val="18"/>
          <w:color w:val="auto"/>
        </w:rPr>
        <w:t>Form of Specimen Certificate for DiamondRock Hospitality Company's 8.250% Series A Cumulative Redeemable Preferred Stock</w:t>
      </w:r>
    </w:p>
    <w:p>
      <w:pPr>
        <w:spacing w:after="0" w:line="1"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incorporated by reference to the Registrant’s Form 8-A filed with the Securities and Exchange Commission on August 28, 2020 (File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001-32514)</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Description of Securities of DiamondRock Hospitality Company</w:t>
      </w:r>
    </w:p>
    <w:p>
      <w:pPr>
        <w:spacing w:after="0" w:line="120"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7"/>
          <w:szCs w:val="17"/>
          <w:color w:val="auto"/>
        </w:rPr>
        <w:t xml:space="preserve">Amended and Restated Agreement of Limited Partnership of DiamondRock Hospitality Limited Partnership, dated as of August 28, 2018 </w:t>
      </w:r>
      <w:r>
        <w:rPr>
          <w:rFonts w:ascii="Times New Roman" w:cs="Times New Roman" w:eastAsia="Times New Roman" w:hAnsi="Times New Roman"/>
          <w:sz w:val="17"/>
          <w:szCs w:val="17"/>
          <w:i w:val="1"/>
          <w:iCs w:val="1"/>
          <w:color w:val="auto"/>
        </w:rPr>
        <w:t>(incorporated by reference to the Registrant's Current Report on Form 8-K filed with the Securities and Exchange Commission on August</w:t>
      </w:r>
    </w:p>
    <w:p>
      <w:pPr>
        <w:spacing w:after="0"/>
        <w:rPr>
          <w:sz w:val="20"/>
          <w:szCs w:val="20"/>
          <w:color w:val="auto"/>
        </w:rPr>
      </w:pPr>
      <w:r>
        <w:rPr>
          <w:rFonts w:ascii="Times New Roman" w:cs="Times New Roman" w:eastAsia="Times New Roman" w:hAnsi="Times New Roman"/>
          <w:sz w:val="18"/>
          <w:szCs w:val="18"/>
          <w:i w:val="1"/>
          <w:iCs w:val="1"/>
          <w:color w:val="auto"/>
        </w:rPr>
        <w:t>31, 2018)</w:t>
      </w:r>
    </w:p>
    <w:p>
      <w:pPr>
        <w:spacing w:after="0" w:line="200" w:lineRule="exact"/>
        <w:rPr>
          <w:sz w:val="20"/>
          <w:szCs w:val="20"/>
          <w:color w:val="auto"/>
        </w:rPr>
      </w:pPr>
    </w:p>
    <w:p>
      <w:pPr>
        <w:sectPr>
          <w:pgSz w:w="11900" w:h="16838" w:orient="portrait"/>
          <w:cols w:equalWidth="0" w:num="2">
            <w:col w:w="540" w:space="720"/>
            <w:col w:w="9980"/>
          </w:cols>
          <w:pgMar w:left="320" w:top="359"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gridSpan w:val="3"/>
          </w:tcPr>
          <w:p>
            <w:pPr>
              <w:ind w:left="40"/>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460" w:type="dxa"/>
            <w:vAlign w:val="bottom"/>
          </w:tcPr>
          <w:p>
            <w:pPr>
              <w:spacing w:after="0"/>
              <w:rPr>
                <w:sz w:val="17"/>
                <w:szCs w:val="17"/>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No. 1 to the Amended and Restated Agreement of Limited Partnership of DiamondRock Hospitality Limited Partnership,</w:t>
            </w:r>
          </w:p>
        </w:tc>
      </w:tr>
      <w:tr>
        <w:trPr>
          <w:trHeight w:val="146"/>
        </w:trPr>
        <w:tc>
          <w:tcPr>
            <w:tcW w:w="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340" w:type="dxa"/>
            <w:vAlign w:val="bottom"/>
          </w:tcPr>
          <w:p>
            <w:pPr>
              <w:ind w:left="360"/>
              <w:spacing w:after="0" w:line="146" w:lineRule="exact"/>
              <w:rPr>
                <w:sz w:val="20"/>
                <w:szCs w:val="20"/>
                <w:color w:val="auto"/>
              </w:rPr>
            </w:pPr>
            <w:r>
              <w:rPr>
                <w:rFonts w:ascii="Times New Roman" w:cs="Times New Roman" w:eastAsia="Times New Roman" w:hAnsi="Times New Roman"/>
                <w:sz w:val="16"/>
                <w:szCs w:val="16"/>
                <w:color w:val="auto"/>
              </w:rPr>
              <w:t xml:space="preserve">dated August 28, 2020 </w:t>
            </w:r>
            <w:r>
              <w:rPr>
                <w:rFonts w:ascii="Times New Roman" w:cs="Times New Roman" w:eastAsia="Times New Roman" w:hAnsi="Times New Roman"/>
                <w:sz w:val="16"/>
                <w:szCs w:val="16"/>
                <w:i w:val="1"/>
                <w:iCs w:val="1"/>
                <w:color w:val="auto"/>
              </w:rPr>
              <w:t>(incorporated by reference to the Registrant's Current Report on Form 8-K filed with the Securities and Exchange</w:t>
            </w:r>
          </w:p>
        </w:tc>
      </w:tr>
      <w:tr>
        <w:trPr>
          <w:trHeight w:val="227"/>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Commission on August 31, 2020)</w:t>
            </w:r>
          </w:p>
        </w:tc>
      </w:tr>
      <w:tr>
        <w:trPr>
          <w:trHeight w:val="194"/>
        </w:trPr>
        <w:tc>
          <w:tcPr>
            <w:tcW w:w="440" w:type="dxa"/>
            <w:vAlign w:val="bottom"/>
            <w:gridSpan w:val="3"/>
          </w:tcPr>
          <w:p>
            <w:pPr>
              <w:ind w:left="40"/>
              <w:spacing w:after="0" w:line="194" w:lineRule="exact"/>
              <w:rPr>
                <w:rFonts w:ascii="Times New Roman" w:cs="Times New Roman" w:eastAsia="Times New Roman" w:hAnsi="Times New Roman"/>
                <w:sz w:val="18"/>
                <w:szCs w:val="18"/>
                <w:color w:val="0000FF"/>
                <w:w w:val="93"/>
              </w:rPr>
            </w:pPr>
            <w:hyperlink r:id="rId106">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3</w:t>
              </w:r>
            </w:hyperlink>
            <w:r>
              <w:rPr>
                <w:rFonts w:ascii="Times New Roman" w:cs="Times New Roman" w:eastAsia="Times New Roman" w:hAnsi="Times New Roman"/>
                <w:sz w:val="18"/>
                <w:szCs w:val="18"/>
                <w:color w:val="000000"/>
                <w:w w:val="93"/>
              </w:rPr>
              <w:t>*</w:t>
            </w:r>
          </w:p>
        </w:tc>
        <w:tc>
          <w:tcPr>
            <w:tcW w:w="460" w:type="dxa"/>
            <w:vAlign w:val="bottom"/>
          </w:tcPr>
          <w:p>
            <w:pPr>
              <w:spacing w:after="0"/>
              <w:rPr>
                <w:sz w:val="16"/>
                <w:szCs w:val="16"/>
                <w:color w:val="auto"/>
              </w:rPr>
            </w:pPr>
          </w:p>
        </w:tc>
        <w:tc>
          <w:tcPr>
            <w:tcW w:w="1034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w w:val="99"/>
              </w:rPr>
              <w:t xml:space="preserve">DiamondRock Hospitality Company Deferred Compensation Plan </w:t>
            </w:r>
            <w:r>
              <w:rPr>
                <w:rFonts w:ascii="Times New Roman" w:cs="Times New Roman" w:eastAsia="Times New Roman" w:hAnsi="Times New Roman"/>
                <w:sz w:val="18"/>
                <w:szCs w:val="18"/>
                <w:i w:val="1"/>
                <w:iCs w:val="1"/>
                <w:color w:val="auto"/>
                <w:w w:val="99"/>
              </w:rPr>
              <w:t>(incorporated by reference to the Registrant’s Registration Statement on</w:t>
            </w:r>
          </w:p>
        </w:tc>
      </w:tr>
      <w:tr>
        <w:trPr>
          <w:trHeight w:val="202"/>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4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i w:val="1"/>
                <w:iCs w:val="1"/>
                <w:color w:val="auto"/>
              </w:rPr>
              <w:t>Form S-8 filed with the Securities and Exchange Commission on August 8, 2014)</w:t>
            </w:r>
          </w:p>
        </w:tc>
      </w:tr>
      <w:tr>
        <w:trPr>
          <w:trHeight w:val="192"/>
        </w:trPr>
        <w:tc>
          <w:tcPr>
            <w:tcW w:w="440" w:type="dxa"/>
            <w:vAlign w:val="bottom"/>
            <w:gridSpan w:val="3"/>
          </w:tcPr>
          <w:p>
            <w:pPr>
              <w:ind w:left="40"/>
              <w:spacing w:after="0" w:line="192" w:lineRule="exact"/>
              <w:rPr>
                <w:rFonts w:ascii="Times New Roman" w:cs="Times New Roman" w:eastAsia="Times New Roman" w:hAnsi="Times New Roman"/>
                <w:sz w:val="18"/>
                <w:szCs w:val="18"/>
                <w:color w:val="0000FF"/>
                <w:w w:val="93"/>
              </w:rPr>
            </w:pPr>
            <w:hyperlink r:id="rId107">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4</w:t>
              </w:r>
            </w:hyperlink>
            <w:r>
              <w:rPr>
                <w:rFonts w:ascii="Times New Roman" w:cs="Times New Roman" w:eastAsia="Times New Roman" w:hAnsi="Times New Roman"/>
                <w:sz w:val="18"/>
                <w:szCs w:val="18"/>
                <w:color w:val="000000"/>
                <w:w w:val="93"/>
              </w:rPr>
              <w:t>*</w:t>
            </w:r>
          </w:p>
        </w:tc>
        <w:tc>
          <w:tcPr>
            <w:tcW w:w="460" w:type="dxa"/>
            <w:vAlign w:val="bottom"/>
          </w:tcPr>
          <w:p>
            <w:pPr>
              <w:spacing w:after="0"/>
              <w:rPr>
                <w:sz w:val="16"/>
                <w:szCs w:val="16"/>
                <w:color w:val="auto"/>
              </w:rPr>
            </w:pPr>
          </w:p>
        </w:tc>
        <w:tc>
          <w:tcPr>
            <w:tcW w:w="10340" w:type="dxa"/>
            <w:vAlign w:val="bottom"/>
          </w:tcPr>
          <w:p>
            <w:pPr>
              <w:ind w:left="360"/>
              <w:spacing w:after="0" w:line="192" w:lineRule="exact"/>
              <w:rPr>
                <w:sz w:val="20"/>
                <w:szCs w:val="20"/>
                <w:color w:val="auto"/>
              </w:rPr>
            </w:pPr>
            <w:r>
              <w:rPr>
                <w:rFonts w:ascii="Times New Roman" w:cs="Times New Roman" w:eastAsia="Times New Roman" w:hAnsi="Times New Roman"/>
                <w:sz w:val="18"/>
                <w:szCs w:val="18"/>
                <w:color w:val="auto"/>
              </w:rPr>
              <w:t>First Amendment to DiamondRock Hospitality Company Deferred Compensation Plan, approved by the Compensation Committee of the</w:t>
            </w:r>
          </w:p>
        </w:tc>
      </w:tr>
      <w:tr>
        <w:trPr>
          <w:trHeight w:val="146"/>
        </w:trPr>
        <w:tc>
          <w:tcPr>
            <w:tcW w:w="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340" w:type="dxa"/>
            <w:vAlign w:val="bottom"/>
          </w:tcPr>
          <w:p>
            <w:pPr>
              <w:ind w:left="360"/>
              <w:spacing w:after="0" w:line="146" w:lineRule="exact"/>
              <w:rPr>
                <w:sz w:val="20"/>
                <w:szCs w:val="20"/>
                <w:color w:val="auto"/>
              </w:rPr>
            </w:pPr>
            <w:r>
              <w:rPr>
                <w:rFonts w:ascii="Times New Roman" w:cs="Times New Roman" w:eastAsia="Times New Roman" w:hAnsi="Times New Roman"/>
                <w:sz w:val="16"/>
                <w:szCs w:val="16"/>
                <w:color w:val="auto"/>
              </w:rPr>
              <w:t xml:space="preserve">Board of Directors on December 15, 2014 </w:t>
            </w:r>
            <w:r>
              <w:rPr>
                <w:rFonts w:ascii="Times New Roman" w:cs="Times New Roman" w:eastAsia="Times New Roman" w:hAnsi="Times New Roman"/>
                <w:sz w:val="16"/>
                <w:szCs w:val="16"/>
                <w:i w:val="1"/>
                <w:iCs w:val="1"/>
                <w:color w:val="auto"/>
              </w:rPr>
              <w:t>(incorporated by reference to the Registrant's Annual Report on Form 10-K filed with the</w:t>
            </w:r>
          </w:p>
        </w:tc>
      </w:tr>
      <w:tr>
        <w:trPr>
          <w:trHeight w:val="229"/>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Securities and Exchange Commission on February 27, 2015)</w:t>
            </w:r>
          </w:p>
        </w:tc>
      </w:tr>
      <w:tr>
        <w:trPr>
          <w:trHeight w:val="192"/>
        </w:trPr>
        <w:tc>
          <w:tcPr>
            <w:tcW w:w="440" w:type="dxa"/>
            <w:vAlign w:val="bottom"/>
            <w:gridSpan w:val="3"/>
          </w:tcPr>
          <w:p>
            <w:pPr>
              <w:ind w:left="40"/>
              <w:spacing w:after="0" w:line="192"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460" w:type="dxa"/>
            <w:vAlign w:val="bottom"/>
          </w:tcPr>
          <w:p>
            <w:pPr>
              <w:spacing w:after="0"/>
              <w:rPr>
                <w:sz w:val="16"/>
                <w:szCs w:val="16"/>
                <w:color w:val="auto"/>
              </w:rPr>
            </w:pPr>
          </w:p>
        </w:tc>
        <w:tc>
          <w:tcPr>
            <w:tcW w:w="10340" w:type="dxa"/>
            <w:vAlign w:val="bottom"/>
          </w:tcPr>
          <w:p>
            <w:pPr>
              <w:ind w:left="360"/>
              <w:spacing w:after="0" w:line="192" w:lineRule="exact"/>
              <w:rPr>
                <w:sz w:val="20"/>
                <w:szCs w:val="20"/>
                <w:color w:val="auto"/>
              </w:rPr>
            </w:pPr>
            <w:r>
              <w:rPr>
                <w:rFonts w:ascii="Times New Roman" w:cs="Times New Roman" w:eastAsia="Times New Roman" w:hAnsi="Times New Roman"/>
                <w:sz w:val="18"/>
                <w:szCs w:val="18"/>
                <w:color w:val="auto"/>
              </w:rPr>
              <w:t>First Amendment to the Sixth Amended and Restated Credit Agreement, dated as of January 31, 2025, by and among DiamondRock</w:t>
            </w:r>
          </w:p>
        </w:tc>
      </w:tr>
      <w:tr>
        <w:trPr>
          <w:trHeight w:val="148"/>
        </w:trPr>
        <w:tc>
          <w:tcPr>
            <w:tcW w:w="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340" w:type="dxa"/>
            <w:vAlign w:val="bottom"/>
          </w:tcPr>
          <w:p>
            <w:pPr>
              <w:ind w:left="360"/>
              <w:spacing w:after="0" w:line="148" w:lineRule="exact"/>
              <w:rPr>
                <w:sz w:val="20"/>
                <w:szCs w:val="20"/>
                <w:color w:val="auto"/>
              </w:rPr>
            </w:pPr>
            <w:r>
              <w:rPr>
                <w:rFonts w:ascii="Times New Roman" w:cs="Times New Roman" w:eastAsia="Times New Roman" w:hAnsi="Times New Roman"/>
                <w:sz w:val="17"/>
                <w:szCs w:val="17"/>
                <w:color w:val="auto"/>
              </w:rPr>
              <w:t>Hospitality Limited Partnership, DiamondRock Hospitality Company, Wells Fargo Bank, National Association, as Administrative Agent,</w:t>
            </w:r>
          </w:p>
        </w:tc>
      </w:tr>
      <w:tr>
        <w:trPr>
          <w:trHeight w:val="178"/>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78" w:lineRule="exact"/>
              <w:rPr>
                <w:sz w:val="20"/>
                <w:szCs w:val="20"/>
                <w:color w:val="auto"/>
              </w:rPr>
            </w:pPr>
            <w:r>
              <w:rPr>
                <w:rFonts w:ascii="Times New Roman" w:cs="Times New Roman" w:eastAsia="Times New Roman" w:hAnsi="Times New Roman"/>
                <w:sz w:val="18"/>
                <w:szCs w:val="18"/>
                <w:color w:val="auto"/>
              </w:rPr>
              <w:t>each of Wells Fargo Securities, LLC, BofA Securities, Inc., U.S. Bank National Association, KeyBanc Capital Markets Inc., Regions</w:t>
            </w:r>
          </w:p>
        </w:tc>
      </w:tr>
      <w:tr>
        <w:trPr>
          <w:trHeight w:val="173"/>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73" w:lineRule="exact"/>
              <w:rPr>
                <w:sz w:val="20"/>
                <w:szCs w:val="20"/>
                <w:color w:val="auto"/>
              </w:rPr>
            </w:pPr>
            <w:r>
              <w:rPr>
                <w:rFonts w:ascii="Times New Roman" w:cs="Times New Roman" w:eastAsia="Times New Roman" w:hAnsi="Times New Roman"/>
                <w:sz w:val="18"/>
                <w:szCs w:val="18"/>
                <w:color w:val="auto"/>
              </w:rPr>
              <w:t>Capital Markets, a Division of Regions Bank, PNC Capital Markets LLC, TD Securities (USA) LLC, Capital One, National Association</w:t>
            </w:r>
          </w:p>
        </w:tc>
      </w:tr>
      <w:tr>
        <w:trPr>
          <w:trHeight w:val="182"/>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and BMO Harris Bank, N.A., as Joint Lead Arrangers, each of Wells Fargo Securities, LLC, BofA Securities, Inc., U.S. Bank National</w:t>
            </w:r>
          </w:p>
        </w:tc>
      </w:tr>
      <w:tr>
        <w:trPr>
          <w:trHeight w:val="178"/>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78" w:lineRule="exact"/>
              <w:rPr>
                <w:sz w:val="20"/>
                <w:szCs w:val="20"/>
                <w:color w:val="auto"/>
              </w:rPr>
            </w:pPr>
            <w:r>
              <w:rPr>
                <w:rFonts w:ascii="Times New Roman" w:cs="Times New Roman" w:eastAsia="Times New Roman" w:hAnsi="Times New Roman"/>
                <w:sz w:val="18"/>
                <w:szCs w:val="18"/>
                <w:color w:val="auto"/>
              </w:rPr>
              <w:t>Association and TD Securities (USA ) LLC, as Joint Bookrunners, each of Bank of America, N.A., U.S. Bank National Association and</w:t>
            </w:r>
          </w:p>
        </w:tc>
      </w:tr>
      <w:tr>
        <w:trPr>
          <w:trHeight w:val="173"/>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73" w:lineRule="exact"/>
              <w:rPr>
                <w:sz w:val="20"/>
                <w:szCs w:val="20"/>
                <w:color w:val="auto"/>
              </w:rPr>
            </w:pPr>
            <w:r>
              <w:rPr>
                <w:rFonts w:ascii="Times New Roman" w:cs="Times New Roman" w:eastAsia="Times New Roman" w:hAnsi="Times New Roman"/>
                <w:sz w:val="18"/>
                <w:szCs w:val="18"/>
                <w:color w:val="auto"/>
              </w:rPr>
              <w:t>TD Bank, N.A., as Syndication Agents, each of KeyBank National Association, Regions Bank, PNC Bank, National Association, BMO</w:t>
            </w:r>
          </w:p>
        </w:tc>
      </w:tr>
      <w:tr>
        <w:trPr>
          <w:trHeight w:val="180"/>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80" w:lineRule="exact"/>
              <w:rPr>
                <w:sz w:val="20"/>
                <w:szCs w:val="20"/>
                <w:color w:val="auto"/>
              </w:rPr>
            </w:pPr>
            <w:r>
              <w:rPr>
                <w:rFonts w:ascii="Times New Roman" w:cs="Times New Roman" w:eastAsia="Times New Roman" w:hAnsi="Times New Roman"/>
                <w:sz w:val="18"/>
                <w:szCs w:val="18"/>
                <w:color w:val="auto"/>
                <w:w w:val="99"/>
              </w:rPr>
              <w:t>Harris Bank, N.A. and Capital One, National Association, as Documentation Agents, and each of Wells Fargo Bank, National Association</w:t>
            </w:r>
          </w:p>
        </w:tc>
      </w:tr>
      <w:tr>
        <w:trPr>
          <w:trHeight w:val="180"/>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w w:val="99"/>
              </w:rPr>
              <w:t xml:space="preserve">and PNC Bank, National Association, as Sustainability Structuring Agents </w:t>
            </w:r>
            <w:r>
              <w:rPr>
                <w:rFonts w:ascii="Times New Roman" w:cs="Times New Roman" w:eastAsia="Times New Roman" w:hAnsi="Times New Roman"/>
                <w:sz w:val="18"/>
                <w:szCs w:val="18"/>
                <w:i w:val="1"/>
                <w:iCs w:val="1"/>
                <w:color w:val="auto"/>
                <w:w w:val="99"/>
              </w:rPr>
              <w:t>(incorporated by reference to the Registrant's Annual Report on</w:t>
            </w:r>
          </w:p>
        </w:tc>
      </w:tr>
      <w:tr>
        <w:trPr>
          <w:trHeight w:val="222"/>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Form 10-K filed with the Securities and Exchange Commission on February 28, 2025)</w:t>
            </w:r>
          </w:p>
        </w:tc>
      </w:tr>
      <w:tr>
        <w:trPr>
          <w:trHeight w:val="192"/>
        </w:trPr>
        <w:tc>
          <w:tcPr>
            <w:tcW w:w="440" w:type="dxa"/>
            <w:vAlign w:val="bottom"/>
            <w:gridSpan w:val="3"/>
          </w:tcPr>
          <w:p>
            <w:pPr>
              <w:ind w:left="40"/>
              <w:spacing w:after="0" w:line="192"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460" w:type="dxa"/>
            <w:vAlign w:val="bottom"/>
          </w:tcPr>
          <w:p>
            <w:pPr>
              <w:spacing w:after="0"/>
              <w:rPr>
                <w:sz w:val="16"/>
                <w:szCs w:val="16"/>
                <w:color w:val="auto"/>
              </w:rPr>
            </w:pPr>
          </w:p>
        </w:tc>
        <w:tc>
          <w:tcPr>
            <w:tcW w:w="10340" w:type="dxa"/>
            <w:vAlign w:val="bottom"/>
          </w:tcPr>
          <w:p>
            <w:pPr>
              <w:ind w:left="360"/>
              <w:spacing w:after="0" w:line="192" w:lineRule="exact"/>
              <w:rPr>
                <w:sz w:val="20"/>
                <w:szCs w:val="20"/>
                <w:color w:val="auto"/>
              </w:rPr>
            </w:pPr>
            <w:r>
              <w:rPr>
                <w:rFonts w:ascii="Times New Roman" w:cs="Times New Roman" w:eastAsia="Times New Roman" w:hAnsi="Times New Roman"/>
                <w:sz w:val="18"/>
                <w:szCs w:val="18"/>
                <w:color w:val="auto"/>
              </w:rPr>
              <w:t>Seventh Amended and Restated Credit Agreement, dated as of July 22, 2025, by and among DiamondRock Hospitality Limited</w:t>
            </w:r>
          </w:p>
        </w:tc>
      </w:tr>
      <w:tr>
        <w:trPr>
          <w:trHeight w:val="148"/>
        </w:trPr>
        <w:tc>
          <w:tcPr>
            <w:tcW w:w="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340" w:type="dxa"/>
            <w:vAlign w:val="bottom"/>
          </w:tcPr>
          <w:p>
            <w:pPr>
              <w:ind w:left="360"/>
              <w:spacing w:after="0" w:line="148" w:lineRule="exact"/>
              <w:rPr>
                <w:sz w:val="20"/>
                <w:szCs w:val="20"/>
                <w:color w:val="auto"/>
              </w:rPr>
            </w:pPr>
            <w:r>
              <w:rPr>
                <w:rFonts w:ascii="Times New Roman" w:cs="Times New Roman" w:eastAsia="Times New Roman" w:hAnsi="Times New Roman"/>
                <w:sz w:val="17"/>
                <w:szCs w:val="17"/>
                <w:color w:val="auto"/>
              </w:rPr>
              <w:t>Partnership, DiamondRock Hospitality Company, Wells Fargo Bank, National Association, as Administrative Agent, each of Wells Fargo</w:t>
            </w:r>
          </w:p>
        </w:tc>
      </w:tr>
      <w:tr>
        <w:trPr>
          <w:trHeight w:val="178"/>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78" w:lineRule="exact"/>
              <w:rPr>
                <w:sz w:val="20"/>
                <w:szCs w:val="20"/>
                <w:color w:val="auto"/>
              </w:rPr>
            </w:pPr>
            <w:r>
              <w:rPr>
                <w:rFonts w:ascii="Times New Roman" w:cs="Times New Roman" w:eastAsia="Times New Roman" w:hAnsi="Times New Roman"/>
                <w:sz w:val="18"/>
                <w:szCs w:val="18"/>
                <w:color w:val="auto"/>
              </w:rPr>
              <w:t>Securities, LLC, BofA Securities, Inc., U.S. Bank National Association and TD Bank, N.A. as joint lead arrangers and joint bookrunners,</w:t>
            </w:r>
          </w:p>
        </w:tc>
      </w:tr>
      <w:tr>
        <w:trPr>
          <w:trHeight w:val="173"/>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73" w:lineRule="exact"/>
              <w:rPr>
                <w:sz w:val="20"/>
                <w:szCs w:val="20"/>
                <w:color w:val="auto"/>
              </w:rPr>
            </w:pPr>
            <w:r>
              <w:rPr>
                <w:rFonts w:ascii="Times New Roman" w:cs="Times New Roman" w:eastAsia="Times New Roman" w:hAnsi="Times New Roman"/>
                <w:sz w:val="18"/>
                <w:szCs w:val="18"/>
                <w:color w:val="auto"/>
              </w:rPr>
              <w:t>each of KeyBanc Capital Markets, Inc., Regions Capital Markets, a Division of Regions Bank, PNC Capital Markets LLC, Capital One,</w:t>
            </w:r>
          </w:p>
        </w:tc>
      </w:tr>
      <w:tr>
        <w:trPr>
          <w:trHeight w:val="182"/>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National Association, BMO Capital Markets Corp., The Huntington National Bank and Truist Securities, Inc. as joint lead arrangers of</w:t>
            </w:r>
          </w:p>
        </w:tc>
      </w:tr>
      <w:tr>
        <w:trPr>
          <w:trHeight w:val="178"/>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78" w:lineRule="exact"/>
              <w:rPr>
                <w:sz w:val="20"/>
                <w:szCs w:val="20"/>
                <w:color w:val="auto"/>
              </w:rPr>
            </w:pPr>
            <w:r>
              <w:rPr>
                <w:rFonts w:ascii="Times New Roman" w:cs="Times New Roman" w:eastAsia="Times New Roman" w:hAnsi="Times New Roman"/>
                <w:sz w:val="18"/>
                <w:szCs w:val="18"/>
                <w:color w:val="auto"/>
              </w:rPr>
              <w:t>certain loans under the Credit Facility, each of The Huntington National Bank and Truist Securities, Inc. as joint bookrunners of a loan</w:t>
            </w:r>
          </w:p>
        </w:tc>
      </w:tr>
      <w:tr>
        <w:trPr>
          <w:trHeight w:val="173"/>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73" w:lineRule="exact"/>
              <w:rPr>
                <w:sz w:val="20"/>
                <w:szCs w:val="20"/>
                <w:color w:val="auto"/>
              </w:rPr>
            </w:pPr>
            <w:r>
              <w:rPr>
                <w:rFonts w:ascii="Times New Roman" w:cs="Times New Roman" w:eastAsia="Times New Roman" w:hAnsi="Times New Roman"/>
                <w:sz w:val="18"/>
                <w:szCs w:val="18"/>
                <w:color w:val="auto"/>
              </w:rPr>
              <w:t>under the Credit Facility, each of Bank of America, N.A., U.S. Bank National Association and TD Bank, N.A. as syndication agents, each</w:t>
            </w:r>
          </w:p>
        </w:tc>
      </w:tr>
      <w:tr>
        <w:trPr>
          <w:trHeight w:val="182"/>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of The Huntington National Bank and Truist Bank as syndication agents of a loan under the Credit Facility, each of KeyBank National</w:t>
            </w:r>
          </w:p>
        </w:tc>
      </w:tr>
      <w:tr>
        <w:trPr>
          <w:trHeight w:val="178"/>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78" w:lineRule="exact"/>
              <w:rPr>
                <w:sz w:val="20"/>
                <w:szCs w:val="20"/>
                <w:color w:val="auto"/>
              </w:rPr>
            </w:pPr>
            <w:r>
              <w:rPr>
                <w:rFonts w:ascii="Times New Roman" w:cs="Times New Roman" w:eastAsia="Times New Roman" w:hAnsi="Times New Roman"/>
                <w:sz w:val="18"/>
                <w:szCs w:val="18"/>
                <w:color w:val="auto"/>
              </w:rPr>
              <w:t>Association, Regions Bank, PNC Bank, National Association, BMO Harris Bank, N.A. and Capital One, National Association as</w:t>
            </w:r>
          </w:p>
        </w:tc>
      </w:tr>
      <w:tr>
        <w:trPr>
          <w:trHeight w:val="173"/>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73" w:lineRule="exact"/>
              <w:rPr>
                <w:sz w:val="20"/>
                <w:szCs w:val="20"/>
                <w:color w:val="auto"/>
              </w:rPr>
            </w:pPr>
            <w:r>
              <w:rPr>
                <w:rFonts w:ascii="Times New Roman" w:cs="Times New Roman" w:eastAsia="Times New Roman" w:hAnsi="Times New Roman"/>
                <w:sz w:val="18"/>
                <w:szCs w:val="18"/>
                <w:color w:val="auto"/>
              </w:rPr>
              <w:t>documentation agents, and each of Wells Fargo Bank, National Association and PNC Bank, National Association as sustainability</w:t>
            </w:r>
          </w:p>
        </w:tc>
      </w:tr>
      <w:tr>
        <w:trPr>
          <w:trHeight w:val="180"/>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40" w:type="dxa"/>
            <w:vAlign w:val="bottom"/>
          </w:tcPr>
          <w:p>
            <w:pPr>
              <w:ind w:left="360"/>
              <w:spacing w:after="0" w:line="180" w:lineRule="exact"/>
              <w:rPr>
                <w:sz w:val="20"/>
                <w:szCs w:val="20"/>
                <w:color w:val="auto"/>
              </w:rPr>
            </w:pPr>
            <w:r>
              <w:rPr>
                <w:rFonts w:ascii="Times New Roman" w:cs="Times New Roman" w:eastAsia="Times New Roman" w:hAnsi="Times New Roman"/>
                <w:sz w:val="18"/>
                <w:szCs w:val="18"/>
                <w:color w:val="auto"/>
              </w:rPr>
              <w:t xml:space="preserve">structuring agents </w:t>
            </w:r>
            <w:r>
              <w:rPr>
                <w:rFonts w:ascii="Times New Roman" w:cs="Times New Roman" w:eastAsia="Times New Roman" w:hAnsi="Times New Roman"/>
                <w:sz w:val="18"/>
                <w:szCs w:val="18"/>
                <w:i w:val="1"/>
                <w:iCs w:val="1"/>
                <w:color w:val="auto"/>
              </w:rPr>
              <w:t>(incorporated by reference to the Registrant's Current Report on Form 8-K filed with the Securities and Exchange</w:t>
            </w:r>
          </w:p>
        </w:tc>
      </w:tr>
      <w:tr>
        <w:trPr>
          <w:trHeight w:val="227"/>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Commission on July 23, 2025)</w:t>
            </w:r>
          </w:p>
        </w:tc>
      </w:tr>
      <w:tr>
        <w:trPr>
          <w:trHeight w:val="194"/>
        </w:trPr>
        <w:tc>
          <w:tcPr>
            <w:tcW w:w="440" w:type="dxa"/>
            <w:vAlign w:val="bottom"/>
            <w:gridSpan w:val="3"/>
          </w:tcPr>
          <w:p>
            <w:pPr>
              <w:ind w:left="40"/>
              <w:spacing w:after="0" w:line="194" w:lineRule="exact"/>
              <w:rPr>
                <w:rFonts w:ascii="Times New Roman" w:cs="Times New Roman" w:eastAsia="Times New Roman" w:hAnsi="Times New Roman"/>
                <w:sz w:val="18"/>
                <w:szCs w:val="18"/>
                <w:color w:val="0000FF"/>
                <w:w w:val="93"/>
              </w:rPr>
            </w:pPr>
            <w:hyperlink r:id="rId110">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7</w:t>
              </w:r>
            </w:hyperlink>
            <w:r>
              <w:rPr>
                <w:rFonts w:ascii="Times New Roman" w:cs="Times New Roman" w:eastAsia="Times New Roman" w:hAnsi="Times New Roman"/>
                <w:sz w:val="18"/>
                <w:szCs w:val="18"/>
                <w:color w:val="000000"/>
                <w:w w:val="93"/>
              </w:rPr>
              <w:t>*</w:t>
            </w:r>
          </w:p>
        </w:tc>
        <w:tc>
          <w:tcPr>
            <w:tcW w:w="460" w:type="dxa"/>
            <w:vAlign w:val="bottom"/>
          </w:tcPr>
          <w:p>
            <w:pPr>
              <w:spacing w:after="0"/>
              <w:rPr>
                <w:sz w:val="16"/>
                <w:szCs w:val="16"/>
                <w:color w:val="auto"/>
              </w:rPr>
            </w:pPr>
          </w:p>
        </w:tc>
        <w:tc>
          <w:tcPr>
            <w:tcW w:w="1034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 xml:space="preserve">Form of Indemnification Agreement </w:t>
            </w:r>
            <w:r>
              <w:rPr>
                <w:rFonts w:ascii="Times New Roman" w:cs="Times New Roman" w:eastAsia="Times New Roman" w:hAnsi="Times New Roman"/>
                <w:sz w:val="18"/>
                <w:szCs w:val="18"/>
                <w:i w:val="1"/>
                <w:iCs w:val="1"/>
                <w:color w:val="auto"/>
              </w:rPr>
              <w:t>(incorporated by reference to the Registrant's Current Report on Form 8-K filed with the Securities</w:t>
            </w:r>
          </w:p>
        </w:tc>
      </w:tr>
      <w:tr>
        <w:trPr>
          <w:trHeight w:val="200"/>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40" w:type="dxa"/>
            <w:vAlign w:val="bottom"/>
          </w:tcPr>
          <w:p>
            <w:pPr>
              <w:ind w:left="360"/>
              <w:spacing w:after="0" w:line="200" w:lineRule="exact"/>
              <w:rPr>
                <w:sz w:val="20"/>
                <w:szCs w:val="20"/>
                <w:color w:val="auto"/>
              </w:rPr>
            </w:pPr>
            <w:r>
              <w:rPr>
                <w:rFonts w:ascii="Times New Roman" w:cs="Times New Roman" w:eastAsia="Times New Roman" w:hAnsi="Times New Roman"/>
                <w:sz w:val="18"/>
                <w:szCs w:val="18"/>
                <w:i w:val="1"/>
                <w:iCs w:val="1"/>
                <w:color w:val="auto"/>
              </w:rPr>
              <w:t>and Exchange Commission on December 16, 2009)</w:t>
            </w:r>
          </w:p>
        </w:tc>
      </w:tr>
      <w:tr>
        <w:trPr>
          <w:trHeight w:val="194"/>
        </w:trPr>
        <w:tc>
          <w:tcPr>
            <w:tcW w:w="440" w:type="dxa"/>
            <w:vAlign w:val="bottom"/>
            <w:gridSpan w:val="3"/>
          </w:tcPr>
          <w:p>
            <w:pPr>
              <w:ind w:left="40"/>
              <w:spacing w:after="0" w:line="194" w:lineRule="exact"/>
              <w:rPr>
                <w:rFonts w:ascii="Times New Roman" w:cs="Times New Roman" w:eastAsia="Times New Roman" w:hAnsi="Times New Roman"/>
                <w:sz w:val="18"/>
                <w:szCs w:val="18"/>
                <w:color w:val="0000FF"/>
                <w:w w:val="93"/>
              </w:rPr>
            </w:pPr>
            <w:hyperlink r:id="rId111">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8</w:t>
              </w:r>
            </w:hyperlink>
            <w:r>
              <w:rPr>
                <w:rFonts w:ascii="Times New Roman" w:cs="Times New Roman" w:eastAsia="Times New Roman" w:hAnsi="Times New Roman"/>
                <w:sz w:val="18"/>
                <w:szCs w:val="18"/>
                <w:color w:val="000000"/>
                <w:w w:val="93"/>
              </w:rPr>
              <w:t>*</w:t>
            </w:r>
          </w:p>
        </w:tc>
        <w:tc>
          <w:tcPr>
            <w:tcW w:w="460" w:type="dxa"/>
            <w:vAlign w:val="bottom"/>
          </w:tcPr>
          <w:p>
            <w:pPr>
              <w:spacing w:after="0"/>
              <w:rPr>
                <w:sz w:val="16"/>
                <w:szCs w:val="16"/>
                <w:color w:val="auto"/>
              </w:rPr>
            </w:pPr>
          </w:p>
        </w:tc>
        <w:tc>
          <w:tcPr>
            <w:tcW w:w="1034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 xml:space="preserve">DiamondRock Hospitality Company 2016 Equity Incentive Plan, effective as of May 3, 2016 </w:t>
            </w:r>
            <w:r>
              <w:rPr>
                <w:rFonts w:ascii="Times New Roman" w:cs="Times New Roman" w:eastAsia="Times New Roman" w:hAnsi="Times New Roman"/>
                <w:sz w:val="18"/>
                <w:szCs w:val="18"/>
                <w:i w:val="1"/>
                <w:iCs w:val="1"/>
                <w:color w:val="auto"/>
              </w:rPr>
              <w:t>(incorporated by reference to Appendix B to</w:t>
            </w:r>
          </w:p>
        </w:tc>
      </w:tr>
      <w:tr>
        <w:trPr>
          <w:trHeight w:val="200"/>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40" w:type="dxa"/>
            <w:vAlign w:val="bottom"/>
          </w:tcPr>
          <w:p>
            <w:pPr>
              <w:ind w:left="360"/>
              <w:spacing w:after="0" w:line="200" w:lineRule="exact"/>
              <w:rPr>
                <w:sz w:val="20"/>
                <w:szCs w:val="20"/>
                <w:color w:val="auto"/>
              </w:rPr>
            </w:pPr>
            <w:r>
              <w:rPr>
                <w:rFonts w:ascii="Times New Roman" w:cs="Times New Roman" w:eastAsia="Times New Roman" w:hAnsi="Times New Roman"/>
                <w:sz w:val="18"/>
                <w:szCs w:val="18"/>
                <w:i w:val="1"/>
                <w:iCs w:val="1"/>
                <w:color w:val="auto"/>
              </w:rPr>
              <w:t>the Registrant's Proxy Statement on Schedule 14A filed with the Securities and Exchange Commission on March 24, 2016)</w:t>
            </w:r>
          </w:p>
        </w:tc>
      </w:tr>
      <w:tr>
        <w:trPr>
          <w:trHeight w:val="194"/>
        </w:trPr>
        <w:tc>
          <w:tcPr>
            <w:tcW w:w="440" w:type="dxa"/>
            <w:vAlign w:val="bottom"/>
            <w:gridSpan w:val="3"/>
          </w:tcPr>
          <w:p>
            <w:pPr>
              <w:ind w:left="40"/>
              <w:spacing w:after="0" w:line="194" w:lineRule="exact"/>
              <w:rPr>
                <w:rFonts w:ascii="Times New Roman" w:cs="Times New Roman" w:eastAsia="Times New Roman" w:hAnsi="Times New Roman"/>
                <w:sz w:val="18"/>
                <w:szCs w:val="18"/>
                <w:color w:val="0000FF"/>
                <w:w w:val="93"/>
              </w:rPr>
            </w:pPr>
            <w:hyperlink r:id="rId112">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9</w:t>
              </w:r>
            </w:hyperlink>
            <w:r>
              <w:rPr>
                <w:rFonts w:ascii="Times New Roman" w:cs="Times New Roman" w:eastAsia="Times New Roman" w:hAnsi="Times New Roman"/>
                <w:sz w:val="18"/>
                <w:szCs w:val="18"/>
                <w:color w:val="000000"/>
                <w:w w:val="93"/>
              </w:rPr>
              <w:t>*</w:t>
            </w:r>
          </w:p>
        </w:tc>
        <w:tc>
          <w:tcPr>
            <w:tcW w:w="460" w:type="dxa"/>
            <w:vAlign w:val="bottom"/>
          </w:tcPr>
          <w:p>
            <w:pPr>
              <w:spacing w:after="0"/>
              <w:rPr>
                <w:sz w:val="16"/>
                <w:szCs w:val="16"/>
                <w:color w:val="auto"/>
              </w:rPr>
            </w:pPr>
          </w:p>
        </w:tc>
        <w:tc>
          <w:tcPr>
            <w:tcW w:w="1034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 xml:space="preserve">First Amendment to the DiamondRock Hospitality Company 2016 Equity Incentive Plan </w:t>
            </w:r>
            <w:r>
              <w:rPr>
                <w:rFonts w:ascii="Times New Roman" w:cs="Times New Roman" w:eastAsia="Times New Roman" w:hAnsi="Times New Roman"/>
                <w:sz w:val="18"/>
                <w:szCs w:val="18"/>
                <w:i w:val="1"/>
                <w:iCs w:val="1"/>
                <w:color w:val="auto"/>
              </w:rPr>
              <w:t>(incorporated by reference to the Registrant's</w:t>
            </w:r>
          </w:p>
        </w:tc>
      </w:tr>
      <w:tr>
        <w:trPr>
          <w:trHeight w:val="200"/>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40" w:type="dxa"/>
            <w:vAlign w:val="bottom"/>
          </w:tcPr>
          <w:p>
            <w:pPr>
              <w:ind w:left="360"/>
              <w:spacing w:after="0" w:line="200" w:lineRule="exact"/>
              <w:rPr>
                <w:sz w:val="20"/>
                <w:szCs w:val="20"/>
                <w:color w:val="auto"/>
              </w:rPr>
            </w:pPr>
            <w:r>
              <w:rPr>
                <w:rFonts w:ascii="Times New Roman" w:cs="Times New Roman" w:eastAsia="Times New Roman" w:hAnsi="Times New Roman"/>
                <w:sz w:val="18"/>
                <w:szCs w:val="18"/>
                <w:i w:val="1"/>
                <w:iCs w:val="1"/>
                <w:color w:val="auto"/>
              </w:rPr>
              <w:t>Current Report on Form 8-K filed with the Securities and Exchange Commission on December 26, 2018)</w:t>
            </w:r>
          </w:p>
        </w:tc>
      </w:tr>
      <w:tr>
        <w:trPr>
          <w:trHeight w:val="194"/>
        </w:trPr>
        <w:tc>
          <w:tcPr>
            <w:tcW w:w="900" w:type="dxa"/>
            <w:vAlign w:val="bottom"/>
            <w:gridSpan w:val="4"/>
          </w:tcPr>
          <w:p>
            <w:pPr>
              <w:ind w:left="40"/>
              <w:spacing w:after="0" w:line="194"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color w:val="000000"/>
              </w:rPr>
              <w:t>*</w:t>
            </w:r>
          </w:p>
        </w:tc>
        <w:tc>
          <w:tcPr>
            <w:tcW w:w="1034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w w:val="99"/>
              </w:rPr>
              <w:t xml:space="preserve">Form of Restricted Stock Award Agreement under the 2016 Equity Incentive Plan </w:t>
            </w:r>
            <w:r>
              <w:rPr>
                <w:rFonts w:ascii="Times New Roman" w:cs="Times New Roman" w:eastAsia="Times New Roman" w:hAnsi="Times New Roman"/>
                <w:sz w:val="18"/>
                <w:szCs w:val="18"/>
                <w:i w:val="1"/>
                <w:iCs w:val="1"/>
                <w:color w:val="auto"/>
                <w:w w:val="99"/>
              </w:rPr>
              <w:t>(incorporated by reference to the Registrant’s Quarterly</w:t>
            </w:r>
          </w:p>
        </w:tc>
      </w:tr>
      <w:tr>
        <w:trPr>
          <w:trHeight w:val="200"/>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0340" w:type="dxa"/>
            <w:vAlign w:val="bottom"/>
          </w:tcPr>
          <w:p>
            <w:pPr>
              <w:ind w:left="360"/>
              <w:spacing w:after="0" w:line="200" w:lineRule="exact"/>
              <w:rPr>
                <w:sz w:val="20"/>
                <w:szCs w:val="20"/>
                <w:color w:val="auto"/>
              </w:rPr>
            </w:pPr>
            <w:r>
              <w:rPr>
                <w:rFonts w:ascii="Times New Roman" w:cs="Times New Roman" w:eastAsia="Times New Roman" w:hAnsi="Times New Roman"/>
                <w:sz w:val="18"/>
                <w:szCs w:val="18"/>
                <w:i w:val="1"/>
                <w:iCs w:val="1"/>
                <w:color w:val="auto"/>
              </w:rPr>
              <w:t>Report on Form 10-Q filed with the Securities and Exchange Commission on August 5, 2016)</w:t>
            </w:r>
          </w:p>
        </w:tc>
      </w:tr>
      <w:tr>
        <w:trPr>
          <w:trHeight w:val="194"/>
        </w:trPr>
        <w:tc>
          <w:tcPr>
            <w:tcW w:w="900" w:type="dxa"/>
            <w:vAlign w:val="bottom"/>
            <w:gridSpan w:val="4"/>
          </w:tcPr>
          <w:p>
            <w:pPr>
              <w:ind w:left="40"/>
              <w:spacing w:after="0" w:line="194"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r>
              <w:rPr>
                <w:rFonts w:ascii="Times New Roman" w:cs="Times New Roman" w:eastAsia="Times New Roman" w:hAnsi="Times New Roman"/>
                <w:sz w:val="18"/>
                <w:szCs w:val="18"/>
                <w:color w:val="000000"/>
              </w:rPr>
              <w:t>*</w:t>
            </w:r>
          </w:p>
        </w:tc>
        <w:tc>
          <w:tcPr>
            <w:tcW w:w="1034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w w:val="99"/>
              </w:rPr>
              <w:t xml:space="preserve">Form of Performance Stock Unit Agreement under the 2016 Equity Incentive Plan </w:t>
            </w:r>
            <w:r>
              <w:rPr>
                <w:rFonts w:ascii="Times New Roman" w:cs="Times New Roman" w:eastAsia="Times New Roman" w:hAnsi="Times New Roman"/>
                <w:sz w:val="18"/>
                <w:szCs w:val="18"/>
                <w:i w:val="1"/>
                <w:iCs w:val="1"/>
                <w:color w:val="auto"/>
                <w:w w:val="99"/>
              </w:rPr>
              <w:t>(incorporated by reference to the Registrant’s Quarterly</w:t>
            </w:r>
          </w:p>
        </w:tc>
      </w:tr>
      <w:tr>
        <w:trPr>
          <w:trHeight w:val="200"/>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0340" w:type="dxa"/>
            <w:vAlign w:val="bottom"/>
          </w:tcPr>
          <w:p>
            <w:pPr>
              <w:ind w:left="360"/>
              <w:spacing w:after="0" w:line="200" w:lineRule="exact"/>
              <w:rPr>
                <w:sz w:val="20"/>
                <w:szCs w:val="20"/>
                <w:color w:val="auto"/>
              </w:rPr>
            </w:pPr>
            <w:r>
              <w:rPr>
                <w:rFonts w:ascii="Times New Roman" w:cs="Times New Roman" w:eastAsia="Times New Roman" w:hAnsi="Times New Roman"/>
                <w:sz w:val="18"/>
                <w:szCs w:val="18"/>
                <w:i w:val="1"/>
                <w:iCs w:val="1"/>
                <w:color w:val="auto"/>
              </w:rPr>
              <w:t>Report on Form 10-Q filed with the Securities and Exchange Commission on August 5, 2016)</w:t>
            </w:r>
          </w:p>
        </w:tc>
      </w:tr>
      <w:tr>
        <w:trPr>
          <w:trHeight w:val="194"/>
        </w:trPr>
        <w:tc>
          <w:tcPr>
            <w:tcW w:w="900" w:type="dxa"/>
            <w:vAlign w:val="bottom"/>
            <w:gridSpan w:val="4"/>
          </w:tcPr>
          <w:p>
            <w:pPr>
              <w:ind w:left="40"/>
              <w:spacing w:after="0" w:line="194"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r>
              <w:rPr>
                <w:rFonts w:ascii="Times New Roman" w:cs="Times New Roman" w:eastAsia="Times New Roman" w:hAnsi="Times New Roman"/>
                <w:sz w:val="18"/>
                <w:szCs w:val="18"/>
                <w:color w:val="000000"/>
              </w:rPr>
              <w:t>*</w:t>
            </w:r>
          </w:p>
        </w:tc>
        <w:tc>
          <w:tcPr>
            <w:tcW w:w="1034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w w:val="99"/>
              </w:rPr>
              <w:t>DiamondRock Hospitality Company 2024 Equity Incentive Plan, effective as of May 1, 2024 (</w:t>
            </w:r>
            <w:r>
              <w:rPr>
                <w:rFonts w:ascii="Times New Roman" w:cs="Times New Roman" w:eastAsia="Times New Roman" w:hAnsi="Times New Roman"/>
                <w:sz w:val="18"/>
                <w:szCs w:val="18"/>
                <w:i w:val="1"/>
                <w:iCs w:val="1"/>
                <w:color w:val="auto"/>
                <w:w w:val="99"/>
              </w:rPr>
              <w:t>incorporated by reference to Exhibit 99.1 to</w:t>
            </w:r>
          </w:p>
        </w:tc>
      </w:tr>
      <w:tr>
        <w:trPr>
          <w:trHeight w:val="202"/>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034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i w:val="1"/>
                <w:iCs w:val="1"/>
                <w:color w:val="auto"/>
              </w:rPr>
              <w:t>the Registrant's Registration Statement on Form S-8 filed with the Securities and Exchange Commission on May 1, 2024</w:t>
            </w:r>
            <w:r>
              <w:rPr>
                <w:rFonts w:ascii="Times New Roman" w:cs="Times New Roman" w:eastAsia="Times New Roman" w:hAnsi="Times New Roman"/>
                <w:sz w:val="18"/>
                <w:szCs w:val="18"/>
                <w:color w:val="auto"/>
              </w:rPr>
              <w:t>)</w:t>
            </w:r>
          </w:p>
        </w:tc>
      </w:tr>
      <w:tr>
        <w:trPr>
          <w:trHeight w:val="192"/>
        </w:trPr>
        <w:tc>
          <w:tcPr>
            <w:tcW w:w="40" w:type="dxa"/>
            <w:vAlign w:val="bottom"/>
          </w:tcPr>
          <w:p>
            <w:pPr>
              <w:spacing w:after="0"/>
              <w:rPr>
                <w:sz w:val="16"/>
                <w:szCs w:val="16"/>
                <w:color w:val="auto"/>
              </w:rPr>
            </w:pPr>
          </w:p>
        </w:tc>
        <w:tc>
          <w:tcPr>
            <w:tcW w:w="400" w:type="dxa"/>
            <w:vAlign w:val="bottom"/>
            <w:tcBorders>
              <w:bottom w:val="single" w:sz="8" w:color="0000FF"/>
            </w:tcBorders>
            <w:gridSpan w:val="2"/>
          </w:tcPr>
          <w:p>
            <w:pPr>
              <w:spacing w:after="0" w:line="192" w:lineRule="exact"/>
              <w:rPr>
                <w:rFonts w:ascii="Times New Roman" w:cs="Times New Roman" w:eastAsia="Times New Roman" w:hAnsi="Times New Roman"/>
                <w:sz w:val="18"/>
                <w:szCs w:val="18"/>
                <w:color w:val="0000FF"/>
                <w:w w:val="93"/>
              </w:rPr>
            </w:pPr>
            <w:hyperlink r:id="rId116">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13</w:t>
              </w:r>
            </w:hyperlink>
          </w:p>
        </w:tc>
        <w:tc>
          <w:tcPr>
            <w:tcW w:w="460" w:type="dxa"/>
            <w:vAlign w:val="bottom"/>
          </w:tcPr>
          <w:p>
            <w:pPr>
              <w:spacing w:after="0"/>
              <w:rPr>
                <w:sz w:val="16"/>
                <w:szCs w:val="16"/>
                <w:color w:val="auto"/>
              </w:rPr>
            </w:pPr>
          </w:p>
        </w:tc>
        <w:tc>
          <w:tcPr>
            <w:tcW w:w="10340" w:type="dxa"/>
            <w:vAlign w:val="bottom"/>
          </w:tcPr>
          <w:p>
            <w:pPr>
              <w:ind w:left="360"/>
              <w:spacing w:after="0" w:line="192" w:lineRule="exact"/>
              <w:rPr>
                <w:sz w:val="20"/>
                <w:szCs w:val="20"/>
                <w:color w:val="auto"/>
              </w:rPr>
            </w:pPr>
            <w:r>
              <w:rPr>
                <w:rFonts w:ascii="Times New Roman" w:cs="Times New Roman" w:eastAsia="Times New Roman" w:hAnsi="Times New Roman"/>
                <w:sz w:val="18"/>
                <w:szCs w:val="18"/>
                <w:color w:val="auto"/>
              </w:rPr>
              <w:t>Form of Restricted Stock Award Agreement under the 2024 Equity Incentive Plan</w:t>
            </w:r>
          </w:p>
        </w:tc>
      </w:tr>
      <w:tr>
        <w:trPr>
          <w:trHeight w:val="207"/>
        </w:trPr>
        <w:tc>
          <w:tcPr>
            <w:tcW w:w="40" w:type="dxa"/>
            <w:vAlign w:val="bottom"/>
          </w:tcPr>
          <w:p>
            <w:pPr>
              <w:spacing w:after="0"/>
              <w:rPr>
                <w:sz w:val="17"/>
                <w:szCs w:val="17"/>
                <w:color w:val="auto"/>
              </w:rPr>
            </w:pPr>
          </w:p>
        </w:tc>
        <w:tc>
          <w:tcPr>
            <w:tcW w:w="4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3"/>
              </w:rPr>
            </w:pPr>
            <w:hyperlink r:id="rId117">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14</w:t>
              </w:r>
            </w:hyperlink>
          </w:p>
        </w:tc>
        <w:tc>
          <w:tcPr>
            <w:tcW w:w="460" w:type="dxa"/>
            <w:vAlign w:val="bottom"/>
          </w:tcPr>
          <w:p>
            <w:pPr>
              <w:spacing w:after="0"/>
              <w:rPr>
                <w:sz w:val="17"/>
                <w:szCs w:val="17"/>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Performance Stock Unit Agreement under the 2024 Equity Incentive Plan</w:t>
            </w:r>
          </w:p>
        </w:tc>
      </w:tr>
      <w:tr>
        <w:trPr>
          <w:trHeight w:val="207"/>
        </w:trPr>
        <w:tc>
          <w:tcPr>
            <w:tcW w:w="900" w:type="dxa"/>
            <w:vAlign w:val="bottom"/>
            <w:gridSpan w:val="4"/>
          </w:tcPr>
          <w:p>
            <w:pPr>
              <w:ind w:left="40"/>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r>
              <w:rPr>
                <w:rFonts w:ascii="Times New Roman" w:cs="Times New Roman" w:eastAsia="Times New Roman" w:hAnsi="Times New Roman"/>
                <w:sz w:val="18"/>
                <w:szCs w:val="18"/>
                <w:color w:val="000000"/>
              </w:rPr>
              <w:t>*</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Release Agreement, dated May 17, 2024, between Troy G. Furbay and DiamondRock Hospitality Company (</w:t>
            </w:r>
            <w:r>
              <w:rPr>
                <w:rFonts w:ascii="Times New Roman" w:cs="Times New Roman" w:eastAsia="Times New Roman" w:hAnsi="Times New Roman"/>
                <w:sz w:val="18"/>
                <w:szCs w:val="18"/>
                <w:i w:val="1"/>
                <w:iCs w:val="1"/>
                <w:color w:val="auto"/>
              </w:rPr>
              <w:t>incorporated by</w:t>
            </w:r>
          </w:p>
        </w:tc>
      </w:tr>
      <w:tr>
        <w:trPr>
          <w:trHeight w:val="200"/>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0340" w:type="dxa"/>
            <w:vAlign w:val="bottom"/>
          </w:tcPr>
          <w:p>
            <w:pPr>
              <w:ind w:left="360"/>
              <w:spacing w:after="0" w:line="200" w:lineRule="exact"/>
              <w:rPr>
                <w:sz w:val="20"/>
                <w:szCs w:val="20"/>
                <w:color w:val="auto"/>
              </w:rPr>
            </w:pPr>
            <w:r>
              <w:rPr>
                <w:rFonts w:ascii="Times New Roman" w:cs="Times New Roman" w:eastAsia="Times New Roman" w:hAnsi="Times New Roman"/>
                <w:sz w:val="18"/>
                <w:szCs w:val="18"/>
                <w:i w:val="1"/>
                <w:iCs w:val="1"/>
                <w:color w:val="auto"/>
              </w:rPr>
              <w:t>reference to the Registrant’s Current Report on Form 8-K filed with the Securities and Exchange Commission on May 23, 2024</w:t>
            </w:r>
            <w:r>
              <w:rPr>
                <w:rFonts w:ascii="Times New Roman" w:cs="Times New Roman" w:eastAsia="Times New Roman" w:hAnsi="Times New Roman"/>
                <w:sz w:val="18"/>
                <w:szCs w:val="18"/>
                <w:color w:val="auto"/>
              </w:rPr>
              <w:t>)</w:t>
            </w:r>
          </w:p>
        </w:tc>
      </w:tr>
      <w:tr>
        <w:trPr>
          <w:trHeight w:val="194"/>
        </w:trPr>
        <w:tc>
          <w:tcPr>
            <w:tcW w:w="900" w:type="dxa"/>
            <w:vAlign w:val="bottom"/>
            <w:gridSpan w:val="4"/>
          </w:tcPr>
          <w:p>
            <w:pPr>
              <w:ind w:left="40"/>
              <w:spacing w:after="0" w:line="194"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r>
              <w:rPr>
                <w:rFonts w:ascii="Times New Roman" w:cs="Times New Roman" w:eastAsia="Times New Roman" w:hAnsi="Times New Roman"/>
                <w:sz w:val="18"/>
                <w:szCs w:val="18"/>
                <w:color w:val="000000"/>
              </w:rPr>
              <w:t>*</w:t>
            </w:r>
          </w:p>
        </w:tc>
        <w:tc>
          <w:tcPr>
            <w:tcW w:w="1034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General Release Agreement, dated May 21, 2024, between Mark W. Brugger and DiamondRock Hospitality Company (</w:t>
            </w:r>
            <w:r>
              <w:rPr>
                <w:rFonts w:ascii="Times New Roman" w:cs="Times New Roman" w:eastAsia="Times New Roman" w:hAnsi="Times New Roman"/>
                <w:sz w:val="18"/>
                <w:szCs w:val="18"/>
                <w:i w:val="1"/>
                <w:iCs w:val="1"/>
                <w:color w:val="auto"/>
              </w:rPr>
              <w:t>incorporated by</w:t>
            </w:r>
          </w:p>
        </w:tc>
      </w:tr>
      <w:tr>
        <w:trPr>
          <w:trHeight w:val="200"/>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0340" w:type="dxa"/>
            <w:vAlign w:val="bottom"/>
          </w:tcPr>
          <w:p>
            <w:pPr>
              <w:ind w:left="360"/>
              <w:spacing w:after="0" w:line="200" w:lineRule="exact"/>
              <w:rPr>
                <w:sz w:val="20"/>
                <w:szCs w:val="20"/>
                <w:color w:val="auto"/>
              </w:rPr>
            </w:pPr>
            <w:r>
              <w:rPr>
                <w:rFonts w:ascii="Times New Roman" w:cs="Times New Roman" w:eastAsia="Times New Roman" w:hAnsi="Times New Roman"/>
                <w:sz w:val="18"/>
                <w:szCs w:val="18"/>
                <w:i w:val="1"/>
                <w:iCs w:val="1"/>
                <w:color w:val="auto"/>
              </w:rPr>
              <w:t>reference to the Registrant’s Current Report on Form 8-K filed with the Securities and Exchange Commission on May 23, 2024</w:t>
            </w:r>
            <w:r>
              <w:rPr>
                <w:rFonts w:ascii="Times New Roman" w:cs="Times New Roman" w:eastAsia="Times New Roman" w:hAnsi="Times New Roman"/>
                <w:sz w:val="18"/>
                <w:szCs w:val="18"/>
                <w:color w:val="auto"/>
              </w:rPr>
              <w:t>)</w:t>
            </w:r>
          </w:p>
        </w:tc>
      </w:tr>
      <w:tr>
        <w:trPr>
          <w:trHeight w:val="194"/>
        </w:trPr>
        <w:tc>
          <w:tcPr>
            <w:tcW w:w="900" w:type="dxa"/>
            <w:vAlign w:val="bottom"/>
            <w:gridSpan w:val="4"/>
          </w:tcPr>
          <w:p>
            <w:pPr>
              <w:ind w:left="40"/>
              <w:spacing w:after="0" w:line="194"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r>
              <w:rPr>
                <w:rFonts w:ascii="Times New Roman" w:cs="Times New Roman" w:eastAsia="Times New Roman" w:hAnsi="Times New Roman"/>
                <w:sz w:val="18"/>
                <w:szCs w:val="18"/>
                <w:color w:val="000000"/>
              </w:rPr>
              <w:t>*</w:t>
            </w:r>
          </w:p>
        </w:tc>
        <w:tc>
          <w:tcPr>
            <w:tcW w:w="1034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Retirement Agreement, dated May 31, 2024, between William J. Tennis and DiamondRock Hospitality Company (</w:t>
            </w:r>
            <w:r>
              <w:rPr>
                <w:rFonts w:ascii="Times New Roman" w:cs="Times New Roman" w:eastAsia="Times New Roman" w:hAnsi="Times New Roman"/>
                <w:sz w:val="18"/>
                <w:szCs w:val="18"/>
                <w:i w:val="1"/>
                <w:iCs w:val="1"/>
                <w:color w:val="auto"/>
              </w:rPr>
              <w:t>incorporated by</w:t>
            </w:r>
          </w:p>
        </w:tc>
      </w:tr>
      <w:tr>
        <w:trPr>
          <w:trHeight w:val="202"/>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034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i w:val="1"/>
                <w:iCs w:val="1"/>
                <w:color w:val="auto"/>
              </w:rPr>
              <w:t>reference to the Registrant’s Current Report on Form 8-K filed with the Securities and Exchange Commission on June 3, 2024</w:t>
            </w:r>
            <w:r>
              <w:rPr>
                <w:rFonts w:ascii="Times New Roman" w:cs="Times New Roman" w:eastAsia="Times New Roman" w:hAnsi="Times New Roman"/>
                <w:sz w:val="18"/>
                <w:szCs w:val="18"/>
                <w:color w:val="auto"/>
              </w:rPr>
              <w:t>)</w:t>
            </w:r>
          </w:p>
        </w:tc>
      </w:tr>
      <w:tr>
        <w:trPr>
          <w:trHeight w:val="192"/>
        </w:trPr>
        <w:tc>
          <w:tcPr>
            <w:tcW w:w="440" w:type="dxa"/>
            <w:vAlign w:val="bottom"/>
            <w:gridSpan w:val="3"/>
          </w:tcPr>
          <w:p>
            <w:pPr>
              <w:ind w:left="40"/>
              <w:spacing w:after="0" w:line="192" w:lineRule="exact"/>
              <w:rPr>
                <w:rFonts w:ascii="Times New Roman" w:cs="Times New Roman" w:eastAsia="Times New Roman" w:hAnsi="Times New Roman"/>
                <w:sz w:val="18"/>
                <w:szCs w:val="18"/>
                <w:color w:val="0000FF"/>
                <w:w w:val="93"/>
              </w:rPr>
            </w:pPr>
            <w:hyperlink r:id="rId121">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18</w:t>
              </w:r>
            </w:hyperlink>
          </w:p>
        </w:tc>
        <w:tc>
          <w:tcPr>
            <w:tcW w:w="460" w:type="dxa"/>
            <w:vAlign w:val="bottom"/>
          </w:tcPr>
          <w:p>
            <w:pPr>
              <w:spacing w:after="0"/>
              <w:rPr>
                <w:sz w:val="16"/>
                <w:szCs w:val="16"/>
                <w:color w:val="auto"/>
              </w:rPr>
            </w:pPr>
          </w:p>
        </w:tc>
        <w:tc>
          <w:tcPr>
            <w:tcW w:w="10340" w:type="dxa"/>
            <w:vAlign w:val="bottom"/>
          </w:tcPr>
          <w:p>
            <w:pPr>
              <w:ind w:left="360"/>
              <w:spacing w:after="0" w:line="192" w:lineRule="exact"/>
              <w:rPr>
                <w:sz w:val="20"/>
                <w:szCs w:val="20"/>
                <w:color w:val="auto"/>
              </w:rPr>
            </w:pPr>
            <w:r>
              <w:rPr>
                <w:rFonts w:ascii="Times New Roman" w:cs="Times New Roman" w:eastAsia="Times New Roman" w:hAnsi="Times New Roman"/>
                <w:sz w:val="18"/>
                <w:szCs w:val="18"/>
                <w:color w:val="auto"/>
              </w:rPr>
              <w:t>Form of Severance Agreement dated February 28, 2025 (and schedule of material differences thereto)</w:t>
            </w:r>
          </w:p>
        </w:tc>
      </w:tr>
      <w:tr>
        <w:trPr>
          <w:trHeight w:val="874"/>
        </w:trPr>
        <w:tc>
          <w:tcPr>
            <w:tcW w:w="4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034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-57-</w:t>
            </w:r>
          </w:p>
        </w:tc>
      </w:tr>
      <w:tr>
        <w:trPr>
          <w:trHeight w:val="113"/>
        </w:trPr>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24">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hyperlink>
          </w:p>
        </w:tc>
        <w:tc>
          <w:tcPr>
            <w:tcW w:w="540" w:type="dxa"/>
            <w:vAlign w:val="bottom"/>
          </w:tcPr>
          <w:p>
            <w:pPr>
              <w:spacing w:after="0"/>
              <w:rPr>
                <w:sz w:val="17"/>
                <w:szCs w:val="17"/>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DiamondRock Hospitality Company Insider Trading Policy</w:t>
            </w:r>
          </w:p>
        </w:tc>
      </w:tr>
      <w:tr>
        <w:trPr>
          <w:trHeight w:val="207"/>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List of DiamondRock Hospitality Company Subsidiaries</w:t>
            </w:r>
          </w:p>
        </w:tc>
      </w:tr>
      <w:tr>
        <w:trPr>
          <w:trHeight w:val="20"/>
        </w:trPr>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07"/>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20"/>
        </w:trPr>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07"/>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Executive Officer Required by Rule 13a-14(a) of the Securities Exchange Act of 1934, as amended.</w:t>
            </w:r>
          </w:p>
        </w:tc>
      </w:tr>
      <w:tr>
        <w:trPr>
          <w:trHeight w:val="20"/>
        </w:trPr>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07"/>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Financial Officer Required by Rule 13a-14(a) of the Securities Exchange Act of 1934, as amended.</w:t>
            </w:r>
          </w:p>
        </w:tc>
      </w:tr>
      <w:tr>
        <w:trPr>
          <w:trHeight w:val="20"/>
        </w:trPr>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07"/>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1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Certification of Chief Executive Officer and Chief Financial Officer Required by Rule 13a-14(b) of the Securities Exchange Act of 1934,</w:t>
            </w:r>
          </w:p>
        </w:tc>
      </w:tr>
      <w:tr>
        <w:trPr>
          <w:trHeight w:val="212"/>
        </w:trPr>
        <w:tc>
          <w:tcPr>
            <w:tcW w:w="32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 amended.</w:t>
            </w:r>
          </w:p>
        </w:tc>
      </w:tr>
    </w:tbl>
    <w:p>
      <w:pPr>
        <w:ind w:left="1260" w:hanging="1216"/>
        <w:spacing w:after="0" w:line="228" w:lineRule="auto"/>
        <w:tabs>
          <w:tab w:leader="none" w:pos="1260" w:val="left"/>
        </w:tabs>
        <w:numPr>
          <w:ilvl w:val="0"/>
          <w:numId w:val="3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DiamondRock Hospitality Company Compensation Recovery Policy (</w:t>
      </w:r>
      <w:r>
        <w:rPr>
          <w:rFonts w:ascii="Times New Roman" w:cs="Times New Roman" w:eastAsia="Times New Roman" w:hAnsi="Times New Roman"/>
          <w:sz w:val="18"/>
          <w:szCs w:val="18"/>
          <w:i w:val="1"/>
          <w:iCs w:val="1"/>
          <w:color w:val="auto"/>
        </w:rPr>
        <w:t>incorporated by reference to the Registrant's Annual Report on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10-K filed with the Securities and Exchange Commission on February 28, 2024</w:t>
      </w:r>
      <w:r>
        <w:rPr>
          <w:rFonts w:ascii="Times New Roman" w:cs="Times New Roman" w:eastAsia="Times New Roman" w:hAnsi="Times New Roman"/>
          <w:sz w:val="18"/>
          <w:szCs w:val="18"/>
          <w:color w:val="auto"/>
        </w:rPr>
        <w:t>)</w:t>
      </w:r>
    </w:p>
    <w:p>
      <w:pPr>
        <w:sectPr>
          <w:pgSz w:w="11900" w:h="16838" w:orient="portrait"/>
          <w:cols w:equalWidth="0" w:num="1">
            <w:col w:w="11180"/>
          </w:cols>
          <w:pgMar w:left="320" w:top="359" w:right="399" w:bottom="1440" w:gutter="0" w:footer="0" w:header="0"/>
        </w:sectPr>
      </w:pP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101.SCH†</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101.CAL†</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101.LAB†</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with applicable taxonomy extension information contained in Exhibits</w:t>
      </w: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180340</wp:posOffset>
            </wp:positionV>
            <wp:extent cx="71088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71088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460"/>
            <w:col w:w="9920"/>
          </w:cols>
          <w:pgMar w:left="320" w:top="359" w:right="399" w:bottom="1440" w:gutter="0" w:footer="0" w:header="0"/>
          <w:type w:val="continuous"/>
        </w:sectPr>
      </w:pPr>
    </w:p>
    <w:p>
      <w:pPr>
        <w:spacing w:after="0" w:line="93" w:lineRule="exact"/>
        <w:rPr>
          <w:sz w:val="20"/>
          <w:szCs w:val="20"/>
          <w:color w:val="auto"/>
        </w:rPr>
      </w:pPr>
    </w:p>
    <w:p>
      <w:pPr>
        <w:ind w:left="180" w:hanging="136"/>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is a management contract or compensatory plan or arrangement.</w:t>
      </w:r>
    </w:p>
    <w:p>
      <w:pPr>
        <w:spacing w:after="0" w:line="25"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9"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359" w:right="3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8" w:lineRule="exact"/>
        <w:rPr>
          <w:sz w:val="20"/>
          <w:szCs w:val="20"/>
          <w:color w:val="auto"/>
        </w:rPr>
      </w:pPr>
    </w:p>
    <w:p>
      <w:pPr>
        <w:ind w:right="20" w:firstLine="440"/>
        <w:spacing w:after="0" w:line="27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Bethesda, State of Maryland, on February 27, 2026.</w:t>
      </w:r>
    </w:p>
    <w:p>
      <w:pPr>
        <w:spacing w:after="0" w:line="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DIAMONDROCK HOSPITALITY COMPANY</w:t>
      </w:r>
    </w:p>
    <w:p>
      <w:pPr>
        <w:spacing w:after="0" w:line="233" w:lineRule="exact"/>
        <w:rPr>
          <w:sz w:val="20"/>
          <w:szCs w:val="20"/>
          <w:color w:val="auto"/>
        </w:rPr>
      </w:pPr>
    </w:p>
    <w:p>
      <w:pPr>
        <w:ind w:left="2040"/>
        <w:spacing w:after="0"/>
        <w:tabs>
          <w:tab w:leader="none" w:pos="2480" w:val="left"/>
        </w:tabs>
        <w:rPr>
          <w:sz w:val="20"/>
          <w:szCs w:val="20"/>
          <w:color w:val="auto"/>
        </w:rPr>
      </w:pPr>
      <w:r>
        <w:rPr>
          <w:rFonts w:ascii="Times New Roman" w:cs="Times New Roman" w:eastAsia="Times New Roman" w:hAnsi="Times New Roman"/>
          <w:sz w:val="18"/>
          <w:szCs w:val="18"/>
          <w:color w:val="auto"/>
        </w:rPr>
        <w:t>By:</w:t>
        <w:tab/>
        <w:t>/s/ ANIKA C. FISCHER</w:t>
      </w:r>
    </w:p>
    <w:p>
      <w:pPr>
        <w:spacing w:after="0" w:line="25" w:lineRule="exact"/>
        <w:rPr>
          <w:sz w:val="20"/>
          <w:szCs w:val="20"/>
          <w:color w:val="auto"/>
        </w:rPr>
      </w:pPr>
    </w:p>
    <w:tbl>
      <w:tblPr>
        <w:tblLayout w:type="fixed"/>
        <w:tblInd w:w="2480" w:type="dxa"/>
        <w:tblCellMar>
          <w:top w:w="0" w:type="dxa"/>
          <w:left w:w="0" w:type="dxa"/>
          <w:bottom w:w="0" w:type="dxa"/>
          <w:right w:w="0" w:type="dxa"/>
        </w:tblCellMar>
      </w:tblPr>
      <w:tr>
        <w:trPr>
          <w:trHeight w:val="215"/>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65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Anika C. Fischer</w:t>
            </w:r>
          </w:p>
        </w:tc>
      </w:tr>
      <w:tr>
        <w:trPr>
          <w:trHeight w:val="232"/>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pacing w:after="0" w:line="314" w:lineRule="exact"/>
        <w:rPr>
          <w:sz w:val="20"/>
          <w:szCs w:val="20"/>
          <w:color w:val="auto"/>
        </w:rPr>
      </w:pPr>
    </w:p>
    <w:p>
      <w:pPr>
        <w:ind w:firstLine="4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0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218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78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13"/>
        </w:trPr>
        <w:tc>
          <w:tcPr>
            <w:tcW w:w="280" w:type="dxa"/>
            <w:vAlign w:val="bottom"/>
          </w:tcPr>
          <w:p>
            <w:pPr>
              <w:spacing w:after="0"/>
              <w:rPr>
                <w:sz w:val="24"/>
                <w:szCs w:val="24"/>
                <w:color w:val="auto"/>
              </w:rPr>
            </w:pPr>
          </w:p>
        </w:tc>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JEFFREY J. DONNELLY</w:t>
            </w: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3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26"/>
        </w:trPr>
        <w:tc>
          <w:tcPr>
            <w:tcW w:w="280" w:type="dxa"/>
            <w:vAlign w:val="bottom"/>
          </w:tcPr>
          <w:p>
            <w:pPr>
              <w:spacing w:after="0"/>
              <w:rPr>
                <w:sz w:val="19"/>
                <w:szCs w:val="19"/>
                <w:color w:val="auto"/>
              </w:rPr>
            </w:pP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Jeffrey J. Donnelly</w:t>
            </w: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42"/>
        </w:trPr>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2"/>
        </w:trPr>
        <w:tc>
          <w:tcPr>
            <w:tcW w:w="280" w:type="dxa"/>
            <w:vAlign w:val="bottom"/>
          </w:tcPr>
          <w:p>
            <w:pPr>
              <w:spacing w:after="0"/>
              <w:rPr>
                <w:sz w:val="20"/>
                <w:szCs w:val="20"/>
                <w:color w:val="auto"/>
              </w:rPr>
            </w:pPr>
          </w:p>
        </w:tc>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BRIONY R. QUINN</w:t>
            </w: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Treasurer</w:t>
            </w:r>
          </w:p>
        </w:tc>
        <w:tc>
          <w:tcPr>
            <w:tcW w:w="23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26"/>
        </w:trPr>
        <w:tc>
          <w:tcPr>
            <w:tcW w:w="280" w:type="dxa"/>
            <w:vAlign w:val="bottom"/>
          </w:tcPr>
          <w:p>
            <w:pPr>
              <w:spacing w:after="0"/>
              <w:rPr>
                <w:sz w:val="19"/>
                <w:szCs w:val="19"/>
                <w:color w:val="auto"/>
              </w:rPr>
            </w:pP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Briony R. Quinn</w:t>
            </w:r>
          </w:p>
        </w:tc>
        <w:tc>
          <w:tcPr>
            <w:tcW w:w="4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42"/>
        </w:trPr>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2"/>
        </w:trPr>
        <w:tc>
          <w:tcPr>
            <w:tcW w:w="280" w:type="dxa"/>
            <w:vAlign w:val="bottom"/>
          </w:tcPr>
          <w:p>
            <w:pPr>
              <w:spacing w:after="0"/>
              <w:rPr>
                <w:sz w:val="20"/>
                <w:szCs w:val="20"/>
                <w:color w:val="auto"/>
              </w:rPr>
            </w:pPr>
          </w:p>
        </w:tc>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STEPHEN M. SPIERTO</w:t>
            </w: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Corporate Controller</w:t>
            </w:r>
          </w:p>
        </w:tc>
        <w:tc>
          <w:tcPr>
            <w:tcW w:w="23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26"/>
        </w:trPr>
        <w:tc>
          <w:tcPr>
            <w:tcW w:w="280" w:type="dxa"/>
            <w:vAlign w:val="bottom"/>
          </w:tcPr>
          <w:p>
            <w:pPr>
              <w:spacing w:after="0"/>
              <w:rPr>
                <w:sz w:val="19"/>
                <w:szCs w:val="19"/>
                <w:color w:val="auto"/>
              </w:rPr>
            </w:pP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Stephen M. Spierto</w:t>
            </w: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87"/>
        </w:trPr>
        <w:tc>
          <w:tcPr>
            <w:tcW w:w="280" w:type="dxa"/>
            <w:vAlign w:val="bottom"/>
          </w:tcPr>
          <w:p>
            <w:pPr>
              <w:spacing w:after="0"/>
              <w:rPr>
                <w:sz w:val="24"/>
                <w:szCs w:val="24"/>
                <w:color w:val="auto"/>
              </w:rPr>
            </w:pPr>
          </w:p>
        </w:tc>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WILLIAM W. McCARTEN</w:t>
            </w: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w:t>
            </w:r>
          </w:p>
        </w:tc>
        <w:tc>
          <w:tcPr>
            <w:tcW w:w="23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26"/>
        </w:trPr>
        <w:tc>
          <w:tcPr>
            <w:tcW w:w="280" w:type="dxa"/>
            <w:vAlign w:val="bottom"/>
          </w:tcPr>
          <w:p>
            <w:pPr>
              <w:spacing w:after="0"/>
              <w:rPr>
                <w:sz w:val="19"/>
                <w:szCs w:val="19"/>
                <w:color w:val="auto"/>
              </w:rPr>
            </w:pP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William W. McCarten</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87"/>
        </w:trPr>
        <w:tc>
          <w:tcPr>
            <w:tcW w:w="280" w:type="dxa"/>
            <w:vAlign w:val="bottom"/>
          </w:tcPr>
          <w:p>
            <w:pPr>
              <w:spacing w:after="0"/>
              <w:rPr>
                <w:sz w:val="24"/>
                <w:szCs w:val="24"/>
                <w:color w:val="auto"/>
              </w:rPr>
            </w:pPr>
          </w:p>
        </w:tc>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TIMOTHY R. CHI</w:t>
            </w: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26"/>
        </w:trPr>
        <w:tc>
          <w:tcPr>
            <w:tcW w:w="280" w:type="dxa"/>
            <w:vAlign w:val="bottom"/>
          </w:tcPr>
          <w:p>
            <w:pPr>
              <w:spacing w:after="0"/>
              <w:rPr>
                <w:sz w:val="19"/>
                <w:szCs w:val="19"/>
                <w:color w:val="auto"/>
              </w:rPr>
            </w:pP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Timothy R. Chi</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87"/>
        </w:trPr>
        <w:tc>
          <w:tcPr>
            <w:tcW w:w="280" w:type="dxa"/>
            <w:vAlign w:val="bottom"/>
          </w:tcPr>
          <w:p>
            <w:pPr>
              <w:spacing w:after="0"/>
              <w:rPr>
                <w:sz w:val="24"/>
                <w:szCs w:val="24"/>
                <w:color w:val="auto"/>
              </w:rPr>
            </w:pPr>
          </w:p>
        </w:tc>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MICHAEL A. HARTMEIER</w:t>
            </w: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26"/>
        </w:trPr>
        <w:tc>
          <w:tcPr>
            <w:tcW w:w="280" w:type="dxa"/>
            <w:vAlign w:val="bottom"/>
          </w:tcPr>
          <w:p>
            <w:pPr>
              <w:spacing w:after="0"/>
              <w:rPr>
                <w:sz w:val="19"/>
                <w:szCs w:val="19"/>
                <w:color w:val="auto"/>
              </w:rPr>
            </w:pP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Michael A. Hartmeier</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4"/>
        </w:trPr>
        <w:tc>
          <w:tcPr>
            <w:tcW w:w="280" w:type="dxa"/>
            <w:vAlign w:val="bottom"/>
          </w:tcPr>
          <w:p>
            <w:pPr>
              <w:spacing w:after="0"/>
              <w:rPr>
                <w:sz w:val="24"/>
                <w:szCs w:val="24"/>
                <w:color w:val="auto"/>
              </w:rPr>
            </w:pPr>
          </w:p>
        </w:tc>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STEPHANIE D. LEPORI</w:t>
            </w: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26"/>
        </w:trPr>
        <w:tc>
          <w:tcPr>
            <w:tcW w:w="280" w:type="dxa"/>
            <w:vAlign w:val="bottom"/>
          </w:tcPr>
          <w:p>
            <w:pPr>
              <w:spacing w:after="0"/>
              <w:rPr>
                <w:sz w:val="19"/>
                <w:szCs w:val="19"/>
                <w:color w:val="auto"/>
              </w:rPr>
            </w:pP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Stephanie D. Lepori</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4"/>
        </w:trPr>
        <w:tc>
          <w:tcPr>
            <w:tcW w:w="280" w:type="dxa"/>
            <w:vAlign w:val="bottom"/>
          </w:tcPr>
          <w:p>
            <w:pPr>
              <w:spacing w:after="0"/>
              <w:rPr>
                <w:sz w:val="24"/>
                <w:szCs w:val="24"/>
                <w:color w:val="auto"/>
              </w:rPr>
            </w:pPr>
          </w:p>
        </w:tc>
        <w:tc>
          <w:tcPr>
            <w:tcW w:w="38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/s/ KATHLEEN A. MERRILL</w:t>
            </w: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26"/>
        </w:trPr>
        <w:tc>
          <w:tcPr>
            <w:tcW w:w="280" w:type="dxa"/>
            <w:vAlign w:val="bottom"/>
          </w:tcPr>
          <w:p>
            <w:pPr>
              <w:spacing w:after="0"/>
              <w:rPr>
                <w:sz w:val="19"/>
                <w:szCs w:val="19"/>
                <w:color w:val="auto"/>
              </w:rPr>
            </w:pP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Kathleen A. Merrill</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87"/>
        </w:trPr>
        <w:tc>
          <w:tcPr>
            <w:tcW w:w="280" w:type="dxa"/>
            <w:vAlign w:val="bottom"/>
          </w:tcPr>
          <w:p>
            <w:pPr>
              <w:spacing w:after="0"/>
              <w:rPr>
                <w:sz w:val="24"/>
                <w:szCs w:val="24"/>
                <w:color w:val="auto"/>
              </w:rPr>
            </w:pPr>
          </w:p>
        </w:tc>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WILLIAM J. SHAW</w:t>
            </w: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26"/>
        </w:trPr>
        <w:tc>
          <w:tcPr>
            <w:tcW w:w="280" w:type="dxa"/>
            <w:vAlign w:val="bottom"/>
          </w:tcPr>
          <w:p>
            <w:pPr>
              <w:spacing w:after="0"/>
              <w:rPr>
                <w:sz w:val="19"/>
                <w:szCs w:val="19"/>
                <w:color w:val="auto"/>
              </w:rPr>
            </w:pP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William J. Shaw</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4"/>
        </w:trPr>
        <w:tc>
          <w:tcPr>
            <w:tcW w:w="280" w:type="dxa"/>
            <w:vAlign w:val="bottom"/>
          </w:tcPr>
          <w:p>
            <w:pPr>
              <w:spacing w:after="0"/>
              <w:rPr>
                <w:sz w:val="24"/>
                <w:szCs w:val="24"/>
                <w:color w:val="auto"/>
              </w:rPr>
            </w:pPr>
          </w:p>
        </w:tc>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BRUCE D. WARDINSKI</w:t>
            </w: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26"/>
        </w:trPr>
        <w:tc>
          <w:tcPr>
            <w:tcW w:w="280" w:type="dxa"/>
            <w:vAlign w:val="bottom"/>
          </w:tcPr>
          <w:p>
            <w:pPr>
              <w:spacing w:after="0"/>
              <w:rPr>
                <w:sz w:val="19"/>
                <w:szCs w:val="19"/>
                <w:color w:val="auto"/>
              </w:rPr>
            </w:pP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Bruce D. Wardinski</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87"/>
        </w:trPr>
        <w:tc>
          <w:tcPr>
            <w:tcW w:w="280" w:type="dxa"/>
            <w:vAlign w:val="bottom"/>
          </w:tcPr>
          <w:p>
            <w:pPr>
              <w:spacing w:after="0"/>
              <w:rPr>
                <w:sz w:val="24"/>
                <w:szCs w:val="24"/>
                <w:color w:val="auto"/>
              </w:rPr>
            </w:pPr>
          </w:p>
        </w:tc>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TABASSUM S. ZALOTRAWALA</w:t>
            </w: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26"/>
        </w:trPr>
        <w:tc>
          <w:tcPr>
            <w:tcW w:w="280" w:type="dxa"/>
            <w:vAlign w:val="bottom"/>
          </w:tcPr>
          <w:p>
            <w:pPr>
              <w:spacing w:after="0"/>
              <w:rPr>
                <w:sz w:val="19"/>
                <w:szCs w:val="19"/>
                <w:color w:val="auto"/>
              </w:rPr>
            </w:pP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Tabassum S. Zalotrawala</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848"/>
        </w:trPr>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3"/>
        </w:trPr>
        <w:tc>
          <w:tcPr>
            <w:tcW w:w="2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830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6"/>
        </w:trPr>
        <w:tc>
          <w:tcPr>
            <w:tcW w:w="8300" w:type="dxa"/>
            <w:vAlign w:val="bottom"/>
          </w:tcPr>
          <w:p>
            <w:pPr>
              <w:spacing w:after="0"/>
              <w:rPr>
                <w:sz w:val="24"/>
                <w:szCs w:val="24"/>
                <w:color w:val="auto"/>
              </w:rPr>
            </w:pPr>
          </w:p>
        </w:tc>
        <w:tc>
          <w:tcPr>
            <w:tcW w:w="7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Page</w:t>
            </w:r>
          </w:p>
        </w:tc>
      </w:tr>
      <w:tr>
        <w:trPr>
          <w:trHeight w:val="36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5"/>
              </w:rPr>
              <w:t>F-2</w:t>
            </w:r>
          </w:p>
        </w:tc>
      </w:tr>
      <w:tr>
        <w:trPr>
          <w:trHeight w:val="247"/>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5"/>
              </w:rPr>
              <w:t>F-3</w:t>
            </w:r>
          </w:p>
        </w:tc>
      </w:tr>
      <w:tr>
        <w:trPr>
          <w:trHeight w:val="247"/>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5"/>
              </w:rPr>
              <w:t>F-6</w:t>
            </w:r>
          </w:p>
        </w:tc>
      </w:tr>
      <w:tr>
        <w:trPr>
          <w:trHeight w:val="193"/>
        </w:trPr>
        <w:tc>
          <w:tcPr>
            <w:tcW w:w="8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Consolidated Statements of Operations and Comprehensive Income for the Years Ended December 31, 2025, 2024</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83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and 2023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FF"/>
            </w:tcBorders>
            <w:gridSpan w:val="2"/>
          </w:tcPr>
          <w:p>
            <w:pPr>
              <w:jc w:val="right"/>
              <w:ind w:right="20"/>
              <w:spacing w:after="0" w:line="200" w:lineRule="exact"/>
              <w:rPr>
                <w:sz w:val="20"/>
                <w:szCs w:val="20"/>
                <w:color w:val="auto"/>
              </w:rPr>
            </w:pPr>
            <w:r>
              <w:rPr>
                <w:rFonts w:ascii="Times New Roman" w:cs="Times New Roman" w:eastAsia="Times New Roman" w:hAnsi="Times New Roman"/>
                <w:sz w:val="18"/>
                <w:szCs w:val="18"/>
                <w:color w:val="0000FF"/>
                <w:w w:val="95"/>
              </w:rPr>
              <w:t>F-7</w:t>
            </w:r>
          </w:p>
        </w:tc>
      </w:tr>
      <w:tr>
        <w:trPr>
          <w:trHeight w:val="247"/>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Equity for the Years Ended December 31, 2025, 2024 and 2023</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F-9</w:t>
            </w:r>
          </w:p>
        </w:tc>
        <w:tc>
          <w:tcPr>
            <w:tcW w:w="20" w:type="dxa"/>
            <w:vAlign w:val="bottom"/>
          </w:tcPr>
          <w:p>
            <w:pPr>
              <w:spacing w:after="0"/>
              <w:rPr>
                <w:sz w:val="21"/>
                <w:szCs w:val="21"/>
                <w:color w:val="auto"/>
              </w:rPr>
            </w:pPr>
          </w:p>
        </w:tc>
      </w:tr>
      <w:tr>
        <w:trPr>
          <w:trHeight w:val="247"/>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w:t>
            </w:r>
          </w:p>
        </w:tc>
        <w:tc>
          <w:tcPr>
            <w:tcW w:w="420" w:type="dxa"/>
            <w:vAlign w:val="bottom"/>
          </w:tcPr>
          <w:p>
            <w:pPr>
              <w:spacing w:after="0"/>
              <w:rPr>
                <w:sz w:val="21"/>
                <w:szCs w:val="21"/>
                <w:color w:val="auto"/>
              </w:rPr>
            </w:pP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F-10</w:t>
            </w:r>
          </w:p>
        </w:tc>
        <w:tc>
          <w:tcPr>
            <w:tcW w:w="20" w:type="dxa"/>
            <w:vAlign w:val="bottom"/>
          </w:tcPr>
          <w:p>
            <w:pPr>
              <w:spacing w:after="0"/>
              <w:rPr>
                <w:sz w:val="21"/>
                <w:szCs w:val="21"/>
                <w:color w:val="auto"/>
              </w:rPr>
            </w:pPr>
          </w:p>
        </w:tc>
      </w:tr>
      <w:tr>
        <w:trPr>
          <w:trHeight w:val="247"/>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20" w:type="dxa"/>
            <w:vAlign w:val="bottom"/>
          </w:tcPr>
          <w:p>
            <w:pPr>
              <w:spacing w:after="0"/>
              <w:rPr>
                <w:sz w:val="21"/>
                <w:szCs w:val="21"/>
                <w:color w:val="auto"/>
              </w:rPr>
            </w:pP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F-12</w:t>
            </w:r>
          </w:p>
        </w:tc>
        <w:tc>
          <w:tcPr>
            <w:tcW w:w="20" w:type="dxa"/>
            <w:vAlign w:val="bottom"/>
          </w:tcPr>
          <w:p>
            <w:pPr>
              <w:spacing w:after="0"/>
              <w:rPr>
                <w:sz w:val="21"/>
                <w:szCs w:val="21"/>
                <w:color w:val="auto"/>
              </w:rPr>
            </w:pPr>
          </w:p>
        </w:tc>
      </w:tr>
      <w:tr>
        <w:trPr>
          <w:trHeight w:val="247"/>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Schedule III - Real Estate and Accumulated Depreciation as of December 31, 2025</w:t>
            </w:r>
          </w:p>
        </w:tc>
        <w:tc>
          <w:tcPr>
            <w:tcW w:w="420" w:type="dxa"/>
            <w:vAlign w:val="bottom"/>
          </w:tcPr>
          <w:p>
            <w:pPr>
              <w:spacing w:after="0"/>
              <w:rPr>
                <w:sz w:val="21"/>
                <w:szCs w:val="21"/>
                <w:color w:val="auto"/>
              </w:rPr>
            </w:pP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F-36</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80"/>
          </w:cols>
          <w:pgMar w:left="320" w:top="359" w:right="1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48" w:lineRule="exact"/>
        <w:rPr>
          <w:sz w:val="20"/>
          <w:szCs w:val="20"/>
          <w:color w:val="auto"/>
        </w:rPr>
      </w:pPr>
    </w:p>
    <w:p>
      <w:pPr>
        <w:jc w:val="both"/>
        <w:ind w:firstLine="200"/>
        <w:spacing w:after="0" w:line="257"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6" w:lineRule="exact"/>
        <w:rPr>
          <w:sz w:val="20"/>
          <w:szCs w:val="20"/>
          <w:color w:val="auto"/>
        </w:rPr>
      </w:pPr>
    </w:p>
    <w:p>
      <w:pPr>
        <w:ind w:left="160" w:firstLine="166"/>
        <w:spacing w:after="0" w:line="276" w:lineRule="auto"/>
        <w:tabs>
          <w:tab w:leader="none" w:pos="5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90" w:lineRule="exact"/>
        <w:rPr>
          <w:rFonts w:ascii="Times New Roman" w:cs="Times New Roman" w:eastAsia="Times New Roman" w:hAnsi="Times New Roman"/>
          <w:sz w:val="18"/>
          <w:szCs w:val="18"/>
          <w:color w:val="auto"/>
        </w:rPr>
      </w:pPr>
    </w:p>
    <w:p>
      <w:pPr>
        <w:jc w:val="both"/>
        <w:ind w:left="160" w:firstLine="166"/>
        <w:spacing w:after="0" w:line="261" w:lineRule="auto"/>
        <w:tabs>
          <w:tab w:leader="none" w:pos="58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4" w:lineRule="exact"/>
        <w:rPr>
          <w:rFonts w:ascii="Times New Roman" w:cs="Times New Roman" w:eastAsia="Times New Roman" w:hAnsi="Times New Roman"/>
          <w:sz w:val="18"/>
          <w:szCs w:val="18"/>
          <w:color w:val="auto"/>
        </w:rPr>
      </w:pPr>
    </w:p>
    <w:p>
      <w:pPr>
        <w:ind w:left="160" w:firstLine="166"/>
        <w:spacing w:after="0" w:line="276" w:lineRule="auto"/>
        <w:tabs>
          <w:tab w:leader="none" w:pos="5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jc w:val="both"/>
        <w:ind w:firstLine="200"/>
        <w:spacing w:after="0" w:line="253"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08" w:lineRule="exact"/>
        <w:rPr>
          <w:sz w:val="20"/>
          <w:szCs w:val="20"/>
          <w:color w:val="auto"/>
        </w:rPr>
      </w:pPr>
    </w:p>
    <w:p>
      <w:pPr>
        <w:jc w:val="both"/>
        <w:ind w:firstLine="200"/>
        <w:spacing w:after="0" w:line="255" w:lineRule="auto"/>
        <w:rPr>
          <w:sz w:val="20"/>
          <w:szCs w:val="20"/>
          <w:color w:val="auto"/>
        </w:rPr>
      </w:pPr>
      <w:r>
        <w:rPr>
          <w:rFonts w:ascii="Times New Roman" w:cs="Times New Roman" w:eastAsia="Times New Roman" w:hAnsi="Times New Roman"/>
          <w:sz w:val="18"/>
          <w:szCs w:val="18"/>
          <w:color w:val="auto"/>
        </w:rPr>
        <w:t xml:space="preserve">Management has used the framework set forth in the report entitled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published by the Committee of Sponsoring Organizations of the Treadway Commission to evaluate the effectiveness of the Company's internal control over financial reporting. Management has concluded that the Company's internal control over financial reporting was effective as of December 31, 2025. KPMG LLP, an independent registered public accounting firm, audited the effectiveness of the Company's internal control over financial reporting as of December 31, 2025 as stated in their report, which appears below.</w:t>
      </w:r>
    </w:p>
    <w:p>
      <w:pPr>
        <w:spacing w:after="0" w:line="36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JEFFREY J.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15875</wp:posOffset>
            </wp:positionV>
            <wp:extent cx="38925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3892550" cy="8255"/>
                    </a:xfrm>
                    <a:prstGeom prst="rect">
                      <a:avLst/>
                    </a:prstGeom>
                    <a:noFill/>
                  </pic:spPr>
                </pic:pic>
              </a:graphicData>
            </a:graphic>
          </wp:anchor>
        </w:drawing>
      </w:r>
    </w:p>
    <w:p>
      <w:pPr>
        <w:spacing w:after="0" w:line="1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4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BRIONY R.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15875</wp:posOffset>
            </wp:positionV>
            <wp:extent cx="38925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3892550" cy="8255"/>
                    </a:xfrm>
                    <a:prstGeom prst="rect">
                      <a:avLst/>
                    </a:prstGeom>
                    <a:noFill/>
                  </pic:spPr>
                </pic:pic>
              </a:graphicData>
            </a:graphic>
          </wp:anchor>
        </w:drawing>
      </w:r>
    </w:p>
    <w:p>
      <w:pPr>
        <w:spacing w:after="0" w:line="1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4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STEPHEN M. SPIERTO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15875</wp:posOffset>
            </wp:positionV>
            <wp:extent cx="38925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3892550" cy="8255"/>
                    </a:xfrm>
                    <a:prstGeom prst="rect">
                      <a:avLst/>
                    </a:prstGeom>
                    <a:noFill/>
                  </pic:spPr>
                </pic:pic>
              </a:graphicData>
            </a:graphic>
          </wp:anchor>
        </w:drawing>
      </w:r>
    </w:p>
    <w:p>
      <w:pPr>
        <w:spacing w:after="0" w:line="1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Senior Vice President, Chief Accounting Officer and Corporate Controller</w:t>
      </w:r>
    </w:p>
    <w:p>
      <w:pPr>
        <w:spacing w:after="0" w:line="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DiamondRock Hospitality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8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We have audited DiamondRock Hospitality Company and subsidiaries' (the Company)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2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operations and comprehensive income, equity, and cash flows for each of the years in the three-year period ended December 31, 2025, and the related notes and financial statement schedule III (collectively, the consolidated financial statements), and our report dated February 27, 2026 expressed an unqualified opinion on those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DiamondRock Hospitality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DiamondRock Hospitality Company and subsidiaries (the Company) as of December 31, 2025 and 2024, the related consolidated statements of operations and comprehensive income, equity, and cash flows for each of the years in the three-year period ended December 31, 2025, and the related notes and financial statement schedule III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2026 expressed an unqualified opinion on the effectiveness of the Company’s internal control over financial reporting.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Evaluation of investments in hotel properties for impairment</w:t>
      </w:r>
    </w:p>
    <w:p>
      <w:pPr>
        <w:spacing w:after="0" w:line="88"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As discussed in Notes 2 and 3 to the consolidated financial statements, property and equipment, net as of December 31, 2025, was $2,596.5 million, which primarily consists of investments in hotel properties. As discussed in Note 3, the Company recorded cumulative impairment losses of $1.1 million during 2025. The Company reviews its investments in hotel properties for impairment whenever events or changes in circumstances indicate that the carrying amount of the hotel properties may not be recoverable. If such events or circumstances are identified, management performs an analysis to compare the estimated undiscounted future cash flows from operations and the proceeds from the ultimate disposition of a hotel, to the carrying amount of the hotel property. If the estimated undiscounted future cash flows are less than the carrying amount of the hotel property, an adjustment to reduce the carrying amount to the related hotel’s estimated fair value is recorded and an impairment loss is recognized.</w:t>
      </w:r>
    </w:p>
    <w:p>
      <w:pPr>
        <w:spacing w:after="0" w:line="211"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investments in hotel properties for impairment as a critical audit matter. Identifying and evaluating the Company’s judgments about events or changes in circumstances that indicate the carrying amount of a hotel property may not be recoverable involved a high degree of auditor judgment. This included judgments regarding the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ind w:left="320" w:right="20"/>
        <w:spacing w:after="0" w:line="276" w:lineRule="auto"/>
        <w:rPr>
          <w:sz w:val="20"/>
          <w:szCs w:val="20"/>
          <w:color w:val="auto"/>
        </w:rPr>
      </w:pPr>
      <w:r>
        <w:rPr>
          <w:rFonts w:ascii="Times New Roman" w:cs="Times New Roman" w:eastAsia="Times New Roman" w:hAnsi="Times New Roman"/>
          <w:sz w:val="18"/>
          <w:szCs w:val="18"/>
          <w:color w:val="auto"/>
        </w:rPr>
        <w:t>likelihood that a property will be sold significantly before the end of its previously estimated useful life. Changes in these judgments could have a significant impact on the determination of whether the carrying amount of the investments in hotel properties may not be recoverable.</w:t>
      </w:r>
    </w:p>
    <w:p>
      <w:pPr>
        <w:spacing w:after="0" w:line="190"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an internal control over the Company’s process to identify and evaluate events or changes in circumstances that indicate the carrying amount of investments in hotel properties may not be recoverable, and when applicable, the Company’s process to evaluate whether a hotel’s carrying amount is recoverable based on its undiscounted future cash flows. We assessed management’s assumptions and the likelihood of a potential decrease in expected future cash flows caused by a shortened hold period that may indicate an investment in a hotel property would not be recoverable. We assessed the Company’s intent and ability to hold each hotel property by examining documents to assess the Company’s plans, if any, to dispose of individual hotel properties. We inquired of Company officials and obtained written representations regarding the status of potential plans, if any, to dispose of individual hotel properties, corroborated the Company’s plans with others in the organization who are responsible for, and have the authority over, potential disposition activities. When events or changes in circumstances indicated the carrying amount of a hotel property may not be recoverable, we challenged the methodology and significant assumptions used by the Company to estimate undiscounted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540"/>
        </w:trPr>
        <w:tc>
          <w:tcPr>
            <w:tcW w:w="1340" w:type="dxa"/>
            <w:vAlign w:val="bottom"/>
            <w:tcBorders>
              <w:top w:val="single" w:sz="8" w:color="0000FF"/>
            </w:tcBorders>
          </w:tcPr>
          <w:p>
            <w:pPr>
              <w:spacing w:after="0"/>
              <w:rPr>
                <w:sz w:val="24"/>
                <w:szCs w:val="24"/>
                <w:color w:val="auto"/>
              </w:rPr>
            </w:pPr>
          </w:p>
        </w:tc>
        <w:tc>
          <w:tcPr>
            <w:tcW w:w="6720" w:type="dxa"/>
            <w:vAlign w:val="bottom"/>
            <w:gridSpan w:val="2"/>
          </w:tcPr>
          <w:p>
            <w:pPr>
              <w:jc w:val="center"/>
              <w:ind w:left="1751"/>
              <w:spacing w:after="0"/>
              <w:rPr>
                <w:sz w:val="20"/>
                <w:szCs w:val="20"/>
                <w:color w:val="auto"/>
              </w:rPr>
            </w:pPr>
            <w:r>
              <w:rPr>
                <w:rFonts w:ascii="Times New Roman" w:cs="Times New Roman" w:eastAsia="Times New Roman" w:hAnsi="Times New Roman"/>
                <w:sz w:val="18"/>
                <w:szCs w:val="18"/>
                <w:b w:val="1"/>
                <w:bCs w:val="1"/>
                <w:color w:val="auto"/>
                <w:w w:val="97"/>
              </w:rPr>
              <w:t>DIAMONDROCK HOSPITALITY COMPANY</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1340" w:type="dxa"/>
            <w:vAlign w:val="bottom"/>
          </w:tcPr>
          <w:p>
            <w:pPr>
              <w:spacing w:after="0"/>
              <w:rPr>
                <w:sz w:val="24"/>
                <w:szCs w:val="24"/>
                <w:color w:val="auto"/>
              </w:rPr>
            </w:pPr>
          </w:p>
        </w:tc>
        <w:tc>
          <w:tcPr>
            <w:tcW w:w="6720" w:type="dxa"/>
            <w:vAlign w:val="bottom"/>
            <w:gridSpan w:val="2"/>
          </w:tcPr>
          <w:p>
            <w:pPr>
              <w:jc w:val="center"/>
              <w:ind w:left="1751"/>
              <w:spacing w:after="0"/>
              <w:rPr>
                <w:sz w:val="20"/>
                <w:szCs w:val="20"/>
                <w:color w:val="auto"/>
              </w:rPr>
            </w:pPr>
            <w:r>
              <w:rPr>
                <w:rFonts w:ascii="Times New Roman" w:cs="Times New Roman" w:eastAsia="Times New Roman" w:hAnsi="Times New Roman"/>
                <w:sz w:val="18"/>
                <w:szCs w:val="18"/>
                <w:b w:val="1"/>
                <w:bCs w:val="1"/>
                <w:color w:val="auto"/>
                <w:w w:val="98"/>
              </w:rPr>
              <w:t>CONSOLIDATED BALANCE SHEETS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4"/>
        </w:trPr>
        <w:tc>
          <w:tcPr>
            <w:tcW w:w="1340" w:type="dxa"/>
            <w:vAlign w:val="bottom"/>
          </w:tcPr>
          <w:p>
            <w:pPr>
              <w:spacing w:after="0"/>
              <w:rPr>
                <w:sz w:val="20"/>
                <w:szCs w:val="20"/>
                <w:color w:val="auto"/>
              </w:rPr>
            </w:pPr>
          </w:p>
        </w:tc>
        <w:tc>
          <w:tcPr>
            <w:tcW w:w="6720" w:type="dxa"/>
            <w:vAlign w:val="bottom"/>
            <w:gridSpan w:val="2"/>
          </w:tcPr>
          <w:p>
            <w:pPr>
              <w:jc w:val="center"/>
              <w:ind w:left="1751"/>
              <w:spacing w:after="0"/>
              <w:rPr>
                <w:sz w:val="20"/>
                <w:szCs w:val="20"/>
                <w:color w:val="auto"/>
              </w:rPr>
            </w:pPr>
            <w:r>
              <w:rPr>
                <w:rFonts w:ascii="Times New Roman" w:cs="Times New Roman" w:eastAsia="Times New Roman" w:hAnsi="Times New Roman"/>
                <w:sz w:val="18"/>
                <w:szCs w:val="18"/>
                <w:b w:val="1"/>
                <w:bCs w:val="1"/>
                <w:color w:val="auto"/>
                <w:w w:val="98"/>
              </w:rPr>
              <w:t>(in thousands, except share and per share amounts)</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360" w:type="dxa"/>
            <w:vAlign w:val="bottom"/>
            <w:tcBorders>
              <w:bottom w:val="single" w:sz="8" w:color="auto"/>
            </w:tcBorders>
          </w:tcPr>
          <w:p>
            <w:pPr>
              <w:spacing w:after="0"/>
              <w:rPr>
                <w:sz w:val="24"/>
                <w:szCs w:val="24"/>
                <w:color w:val="auto"/>
              </w:rPr>
            </w:pPr>
          </w:p>
        </w:tc>
      </w:tr>
      <w:tr>
        <w:trPr>
          <w:trHeight w:val="220"/>
        </w:trPr>
        <w:tc>
          <w:tcPr>
            <w:tcW w:w="134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7"/>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2,596,458</w:t>
            </w:r>
          </w:p>
        </w:tc>
        <w:tc>
          <w:tcPr>
            <w:tcW w:w="240" w:type="dxa"/>
            <w:vAlign w:val="bottom"/>
          </w:tcPr>
          <w:p>
            <w:pPr>
              <w:spacing w:after="0"/>
              <w:rPr>
                <w:sz w:val="19"/>
                <w:szCs w:val="19"/>
                <w:color w:val="auto"/>
              </w:rPr>
            </w:pPr>
          </w:p>
        </w:tc>
        <w:tc>
          <w:tcPr>
            <w:tcW w:w="7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2,631,221</w:t>
            </w:r>
          </w:p>
        </w:tc>
      </w:tr>
      <w:tr>
        <w:trPr>
          <w:trHeight w:val="22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93,400</w:t>
            </w:r>
          </w:p>
        </w:tc>
      </w:tr>
      <w:tr>
        <w:trPr>
          <w:trHeight w:val="227"/>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89,041</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89,931</w:t>
            </w:r>
          </w:p>
        </w:tc>
      </w:tr>
      <w:tr>
        <w:trPr>
          <w:trHeight w:val="22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35,137</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47,408</w:t>
            </w:r>
          </w:p>
        </w:tc>
      </w:tr>
      <w:tr>
        <w:trPr>
          <w:trHeight w:val="227"/>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from hotel managers</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137,787</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145,947</w:t>
            </w:r>
          </w:p>
        </w:tc>
      </w:tr>
      <w:tr>
        <w:trPr>
          <w:trHeight w:val="22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77,194</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82,963</w:t>
            </w:r>
          </w:p>
        </w:tc>
      </w:tr>
      <w:tr>
        <w:trPr>
          <w:trHeight w:val="227"/>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68,084</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81,381</w:t>
            </w:r>
          </w:p>
        </w:tc>
      </w:tr>
      <w:tr>
        <w:trPr>
          <w:trHeight w:val="245"/>
        </w:trPr>
        <w:tc>
          <w:tcPr>
            <w:tcW w:w="6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Borders>
              <w:bottom w:val="single" w:sz="8" w:color="auto"/>
            </w:tcBorders>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3,003,701</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3,172,251</w:t>
            </w:r>
          </w:p>
        </w:tc>
      </w:tr>
      <w:tr>
        <w:trPr>
          <w:trHeight w:val="20"/>
        </w:trPr>
        <w:tc>
          <w:tcPr>
            <w:tcW w:w="680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13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7"/>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net of unamortized debt issuance costs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1,098,850</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1,095,294</w:t>
            </w:r>
          </w:p>
        </w:tc>
      </w:tr>
      <w:tr>
        <w:trPr>
          <w:trHeight w:val="227"/>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87,053</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85,235</w:t>
            </w:r>
          </w:p>
        </w:tc>
      </w:tr>
      <w:tr>
        <w:trPr>
          <w:trHeight w:val="22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hotel managers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109,568</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121,734</w:t>
            </w:r>
          </w:p>
        </w:tc>
      </w:tr>
      <w:tr>
        <w:trPr>
          <w:trHeight w:val="227"/>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 of assets held for sale</w:t>
            </w:r>
          </w:p>
        </w:tc>
        <w:tc>
          <w:tcPr>
            <w:tcW w:w="126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2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77,405</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73,535</w:t>
            </w:r>
          </w:p>
        </w:tc>
      </w:tr>
      <w:tr>
        <w:trPr>
          <w:trHeight w:val="227"/>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Unfavorable contract liabilities, net</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56,549</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58,208</w:t>
            </w:r>
          </w:p>
        </w:tc>
      </w:tr>
      <w:tr>
        <w:trPr>
          <w:trHeight w:val="22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83,888</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79,201</w:t>
            </w:r>
          </w:p>
        </w:tc>
      </w:tr>
      <w:tr>
        <w:trPr>
          <w:trHeight w:val="227"/>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Distributions declared and unpaid</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25,903</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49,034</w:t>
            </w:r>
          </w:p>
        </w:tc>
      </w:tr>
      <w:tr>
        <w:trPr>
          <w:trHeight w:val="22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related to key money, net</w:t>
            </w:r>
          </w:p>
        </w:tc>
        <w:tc>
          <w:tcPr>
            <w:tcW w:w="1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r>
      <w:tr>
        <w:trPr>
          <w:trHeight w:val="220"/>
        </w:trPr>
        <w:tc>
          <w:tcPr>
            <w:tcW w:w="68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1,546,616</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1,573,319</w:t>
            </w:r>
          </w:p>
        </w:tc>
      </w:tr>
      <w:tr>
        <w:trPr>
          <w:trHeight w:val="20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7"/>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w:t>
            </w: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73"/>
        </w:trPr>
        <w:tc>
          <w:tcPr>
            <w:tcW w:w="6800" w:type="dxa"/>
            <w:vAlign w:val="bottom"/>
            <w:gridSpan w:val="2"/>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rPr>
              <w:t>8.250% Series A Cumulative Redeemable Preferred Stock (liquidation preference $25.00</w:t>
            </w:r>
          </w:p>
        </w:tc>
        <w:tc>
          <w:tcPr>
            <w:tcW w:w="1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3"/>
        </w:trPr>
        <w:tc>
          <w:tcPr>
            <w:tcW w:w="6800" w:type="dxa"/>
            <w:vAlign w:val="bottom"/>
            <w:gridSpan w:val="2"/>
            <w:shd w:val="clear" w:color="auto" w:fill="CCEEFF"/>
          </w:tcPr>
          <w:p>
            <w:pPr>
              <w:ind w:left="340"/>
              <w:spacing w:after="0" w:line="173" w:lineRule="exact"/>
              <w:rPr>
                <w:sz w:val="20"/>
                <w:szCs w:val="20"/>
                <w:color w:val="auto"/>
              </w:rPr>
            </w:pPr>
            <w:r>
              <w:rPr>
                <w:rFonts w:ascii="Times New Roman" w:cs="Times New Roman" w:eastAsia="Times New Roman" w:hAnsi="Times New Roman"/>
                <w:sz w:val="18"/>
                <w:szCs w:val="18"/>
                <w:color w:val="auto"/>
              </w:rPr>
              <w:t>per share), no shares issued and outstanding at December 31, 2025; 4,760,000 shares</w:t>
            </w:r>
          </w:p>
        </w:tc>
        <w:tc>
          <w:tcPr>
            <w:tcW w:w="1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0"/>
        </w:trPr>
        <w:tc>
          <w:tcPr>
            <w:tcW w:w="6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at December 31, 2024</w:t>
            </w:r>
          </w:p>
        </w:tc>
        <w:tc>
          <w:tcPr>
            <w:tcW w:w="1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73"/>
        </w:trPr>
        <w:tc>
          <w:tcPr>
            <w:tcW w:w="68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Common stock, $0.01 par value; 400,000,000 shares authorized; 203,703,182 and</w:t>
            </w: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0"/>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207,592,210 shares issued and outstanding at December 31, 2025 and 2024, respectively</w:t>
            </w:r>
          </w:p>
        </w:tc>
        <w:tc>
          <w:tcPr>
            <w:tcW w:w="1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2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2,114,438</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2,268,521</w:t>
            </w:r>
          </w:p>
        </w:tc>
      </w:tr>
      <w:tr>
        <w:trPr>
          <w:trHeight w:val="227"/>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2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in excess of earnings</w:t>
            </w:r>
          </w:p>
        </w:tc>
        <w:tc>
          <w:tcPr>
            <w:tcW w:w="1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(662,209)</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(679,050)</w:t>
            </w:r>
          </w:p>
        </w:tc>
      </w:tr>
      <w:tr>
        <w:trPr>
          <w:trHeight w:val="220"/>
        </w:trPr>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1,447,885</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1,590,235</w:t>
            </w:r>
          </w:p>
        </w:tc>
      </w:tr>
      <w:tr>
        <w:trPr>
          <w:trHeight w:val="22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r>
      <w:tr>
        <w:trPr>
          <w:trHeight w:val="220"/>
        </w:trPr>
        <w:tc>
          <w:tcPr>
            <w:tcW w:w="68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1,457,085</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1,598,932</w:t>
            </w:r>
          </w:p>
        </w:tc>
      </w:tr>
      <w:tr>
        <w:trPr>
          <w:trHeight w:val="245"/>
        </w:trPr>
        <w:tc>
          <w:tcPr>
            <w:tcW w:w="6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60" w:type="dxa"/>
            <w:vAlign w:val="bottom"/>
            <w:tcBorders>
              <w:bottom w:val="single" w:sz="8" w:color="auto"/>
            </w:tcBorders>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3,003,701</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3,172,251</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1340" w:type="dxa"/>
            <w:vAlign w:val="bottom"/>
            <w:tcBorders>
              <w:top w:val="single" w:sz="8" w:color="0000FF"/>
            </w:tcBorders>
          </w:tcPr>
          <w:p>
            <w:pPr>
              <w:spacing w:after="0"/>
              <w:rPr>
                <w:sz w:val="24"/>
                <w:szCs w:val="24"/>
                <w:color w:val="auto"/>
              </w:rPr>
            </w:pPr>
          </w:p>
        </w:tc>
        <w:tc>
          <w:tcPr>
            <w:tcW w:w="6520" w:type="dxa"/>
            <w:vAlign w:val="bottom"/>
            <w:gridSpan w:val="4"/>
          </w:tcPr>
          <w:p>
            <w:pPr>
              <w:jc w:val="center"/>
              <w:ind w:left="1951"/>
              <w:spacing w:after="0"/>
              <w:rPr>
                <w:sz w:val="20"/>
                <w:szCs w:val="20"/>
                <w:color w:val="auto"/>
              </w:rPr>
            </w:pPr>
            <w:r>
              <w:rPr>
                <w:rFonts w:ascii="Times New Roman" w:cs="Times New Roman" w:eastAsia="Times New Roman" w:hAnsi="Times New Roman"/>
                <w:sz w:val="18"/>
                <w:szCs w:val="18"/>
                <w:b w:val="1"/>
                <w:bCs w:val="1"/>
                <w:color w:val="auto"/>
                <w:w w:val="97"/>
              </w:rPr>
              <w:t>DIAMONDROCK HOSPITALITY COMPANY</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4"/>
                <w:szCs w:val="24"/>
                <w:color w:val="auto"/>
              </w:rPr>
            </w:pPr>
          </w:p>
        </w:tc>
        <w:tc>
          <w:tcPr>
            <w:tcW w:w="8240" w:type="dxa"/>
            <w:vAlign w:val="bottom"/>
            <w:gridSpan w:val="7"/>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 AND COMPREHENSIVE INCOME</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6520" w:type="dxa"/>
            <w:vAlign w:val="bottom"/>
            <w:gridSpan w:val="4"/>
          </w:tcPr>
          <w:p>
            <w:pPr>
              <w:jc w:val="center"/>
              <w:ind w:left="1951"/>
              <w:spacing w:after="0"/>
              <w:rPr>
                <w:sz w:val="20"/>
                <w:szCs w:val="20"/>
                <w:color w:val="auto"/>
              </w:rPr>
            </w:pPr>
            <w:r>
              <w:rPr>
                <w:rFonts w:ascii="Times New Roman" w:cs="Times New Roman" w:eastAsia="Times New Roman" w:hAnsi="Times New Roman"/>
                <w:sz w:val="18"/>
                <w:szCs w:val="18"/>
                <w:b w:val="1"/>
                <w:bCs w:val="1"/>
                <w:color w:val="auto"/>
                <w:w w:val="98"/>
              </w:rPr>
              <w:t>(in thousands, except share and per share amounts)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3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Rooms</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717,447</w:t>
            </w:r>
          </w:p>
        </w:tc>
        <w:tc>
          <w:tcPr>
            <w:tcW w:w="0" w:type="dxa"/>
            <w:vAlign w:val="bottom"/>
          </w:tcPr>
          <w:p>
            <w:pPr>
              <w:spacing w:after="0"/>
              <w:rPr>
                <w:sz w:val="1"/>
                <w:szCs w:val="1"/>
                <w:color w:val="auto"/>
              </w:rPr>
            </w:pPr>
          </w:p>
        </w:tc>
      </w:tr>
      <w:tr>
        <w:trPr>
          <w:trHeight w:val="227"/>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259,757</w:t>
            </w:r>
          </w:p>
        </w:tc>
        <w:tc>
          <w:tcPr>
            <w:tcW w:w="0" w:type="dxa"/>
            <w:vAlign w:val="bottom"/>
          </w:tcPr>
          <w:p>
            <w:pPr>
              <w:spacing w:after="0"/>
              <w:rPr>
                <w:sz w:val="1"/>
                <w:szCs w:val="1"/>
                <w:color w:val="auto"/>
              </w:rPr>
            </w:pPr>
          </w:p>
        </w:tc>
      </w:tr>
      <w:tr>
        <w:trPr>
          <w:trHeight w:val="22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97,663</w:t>
            </w:r>
          </w:p>
        </w:tc>
        <w:tc>
          <w:tcPr>
            <w:tcW w:w="0" w:type="dxa"/>
            <w:vAlign w:val="bottom"/>
          </w:tcPr>
          <w:p>
            <w:pPr>
              <w:spacing w:after="0"/>
              <w:rPr>
                <w:sz w:val="1"/>
                <w:szCs w:val="1"/>
                <w:color w:val="auto"/>
              </w:rPr>
            </w:pPr>
          </w:p>
        </w:tc>
      </w:tr>
      <w:tr>
        <w:trPr>
          <w:trHeight w:val="220"/>
        </w:trPr>
        <w:tc>
          <w:tcPr>
            <w:tcW w:w="6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1,120,491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1,074,867</w:t>
            </w:r>
          </w:p>
        </w:tc>
        <w:tc>
          <w:tcPr>
            <w:tcW w:w="0" w:type="dxa"/>
            <w:vAlign w:val="bottom"/>
          </w:tcPr>
          <w:p>
            <w:pPr>
              <w:spacing w:after="0"/>
              <w:rPr>
                <w:sz w:val="1"/>
                <w:szCs w:val="1"/>
                <w:color w:val="auto"/>
              </w:rPr>
            </w:pPr>
          </w:p>
        </w:tc>
      </w:tr>
      <w:tr>
        <w:trPr>
          <w:trHeight w:val="22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Rooms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176,765</w:t>
            </w:r>
          </w:p>
        </w:tc>
        <w:tc>
          <w:tcPr>
            <w:tcW w:w="0" w:type="dxa"/>
            <w:vAlign w:val="bottom"/>
          </w:tcPr>
          <w:p>
            <w:pPr>
              <w:spacing w:after="0"/>
              <w:rPr>
                <w:sz w:val="1"/>
                <w:szCs w:val="1"/>
                <w:color w:val="auto"/>
              </w:rPr>
            </w:pPr>
          </w:p>
        </w:tc>
      </w:tr>
      <w:tr>
        <w:trPr>
          <w:trHeight w:val="22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180,546</w:t>
            </w:r>
          </w:p>
        </w:tc>
        <w:tc>
          <w:tcPr>
            <w:tcW w:w="0" w:type="dxa"/>
            <w:vAlign w:val="bottom"/>
          </w:tcPr>
          <w:p>
            <w:pPr>
              <w:spacing w:after="0"/>
              <w:rPr>
                <w:sz w:val="1"/>
                <w:szCs w:val="1"/>
                <w:color w:val="auto"/>
              </w:rPr>
            </w:pPr>
          </w:p>
        </w:tc>
      </w:tr>
      <w:tr>
        <w:trPr>
          <w:trHeight w:val="227"/>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departmental and support expenses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261,536</w:t>
            </w:r>
          </w:p>
        </w:tc>
        <w:tc>
          <w:tcPr>
            <w:tcW w:w="0" w:type="dxa"/>
            <w:vAlign w:val="bottom"/>
          </w:tcPr>
          <w:p>
            <w:pPr>
              <w:spacing w:after="0"/>
              <w:rPr>
                <w:sz w:val="1"/>
                <w:szCs w:val="1"/>
                <w:color w:val="auto"/>
              </w:rPr>
            </w:pPr>
          </w:p>
        </w:tc>
      </w:tr>
      <w:tr>
        <w:trPr>
          <w:trHeight w:val="22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0" w:type="dxa"/>
            <w:vAlign w:val="bottom"/>
          </w:tcPr>
          <w:p>
            <w:pPr>
              <w:spacing w:after="0"/>
              <w:rPr>
                <w:sz w:val="1"/>
                <w:szCs w:val="1"/>
                <w:color w:val="auto"/>
              </w:rPr>
            </w:pPr>
          </w:p>
        </w:tc>
      </w:tr>
      <w:tr>
        <w:trPr>
          <w:trHeight w:val="227"/>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fees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35,738</w:t>
            </w:r>
          </w:p>
        </w:tc>
        <w:tc>
          <w:tcPr>
            <w:tcW w:w="0" w:type="dxa"/>
            <w:vAlign w:val="bottom"/>
          </w:tcPr>
          <w:p>
            <w:pPr>
              <w:spacing w:after="0"/>
              <w:rPr>
                <w:sz w:val="1"/>
                <w:szCs w:val="1"/>
                <w:color w:val="auto"/>
              </w:rPr>
            </w:pPr>
          </w:p>
        </w:tc>
      </w:tr>
      <w:tr>
        <w:trPr>
          <w:trHeight w:val="22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property-level expenses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102,177</w:t>
            </w:r>
          </w:p>
        </w:tc>
        <w:tc>
          <w:tcPr>
            <w:tcW w:w="0" w:type="dxa"/>
            <w:vAlign w:val="bottom"/>
          </w:tcPr>
          <w:p>
            <w:pPr>
              <w:spacing w:after="0"/>
              <w:rPr>
                <w:sz w:val="1"/>
                <w:szCs w:val="1"/>
                <w:color w:val="auto"/>
              </w:rPr>
            </w:pPr>
          </w:p>
        </w:tc>
      </w:tr>
      <w:tr>
        <w:trPr>
          <w:trHeight w:val="227"/>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111,302</w:t>
            </w:r>
          </w:p>
        </w:tc>
        <w:tc>
          <w:tcPr>
            <w:tcW w:w="0" w:type="dxa"/>
            <w:vAlign w:val="bottom"/>
          </w:tcPr>
          <w:p>
            <w:pPr>
              <w:spacing w:after="0"/>
              <w:rPr>
                <w:sz w:val="1"/>
                <w:szCs w:val="1"/>
                <w:color w:val="auto"/>
              </w:rPr>
            </w:pPr>
          </w:p>
        </w:tc>
      </w:tr>
      <w:tr>
        <w:trPr>
          <w:trHeight w:val="22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7"/>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32,048</w:t>
            </w:r>
          </w:p>
        </w:tc>
        <w:tc>
          <w:tcPr>
            <w:tcW w:w="0" w:type="dxa"/>
            <w:vAlign w:val="bottom"/>
          </w:tcPr>
          <w:p>
            <w:pPr>
              <w:spacing w:after="0"/>
              <w:rPr>
                <w:sz w:val="1"/>
                <w:szCs w:val="1"/>
                <w:color w:val="auto"/>
              </w:rPr>
            </w:pPr>
          </w:p>
        </w:tc>
      </w:tr>
      <w:tr>
        <w:trPr>
          <w:trHeight w:val="22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interruption insurance income</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0"/>
        </w:trPr>
        <w:tc>
          <w:tcPr>
            <w:tcW w:w="6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operating expenses, net</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957,891</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1,018,913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925,404</w:t>
            </w:r>
          </w:p>
        </w:tc>
        <w:tc>
          <w:tcPr>
            <w:tcW w:w="0" w:type="dxa"/>
            <w:vAlign w:val="bottom"/>
          </w:tcPr>
          <w:p>
            <w:pPr>
              <w:spacing w:after="0"/>
              <w:rPr>
                <w:sz w:val="1"/>
                <w:szCs w:val="1"/>
                <w:color w:val="auto"/>
              </w:rPr>
            </w:pPr>
          </w:p>
        </w:tc>
      </w:tr>
      <w:tr>
        <w:trPr>
          <w:trHeight w:val="193"/>
        </w:trPr>
        <w:tc>
          <w:tcPr>
            <w:tcW w:w="1340" w:type="dxa"/>
            <w:vAlign w:val="bottom"/>
            <w:shd w:val="clear" w:color="auto" w:fill="CCEEFF"/>
          </w:tcPr>
          <w:p>
            <w:pPr>
              <w:spacing w:after="0"/>
              <w:rPr>
                <w:sz w:val="16"/>
                <w:szCs w:val="16"/>
                <w:color w:val="auto"/>
              </w:rPr>
            </w:pPr>
          </w:p>
        </w:tc>
        <w:tc>
          <w:tcPr>
            <w:tcW w:w="4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65,072</w:t>
            </w:r>
          </w:p>
        </w:tc>
        <w:tc>
          <w:tcPr>
            <w:tcW w:w="0" w:type="dxa"/>
            <w:vAlign w:val="bottom"/>
          </w:tcPr>
          <w:p>
            <w:pPr>
              <w:spacing w:after="0"/>
              <w:rPr>
                <w:sz w:val="1"/>
                <w:szCs w:val="1"/>
                <w:color w:val="auto"/>
              </w:rPr>
            </w:pPr>
          </w:p>
        </w:tc>
      </w:tr>
      <w:tr>
        <w:trPr>
          <w:trHeight w:val="22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0" w:type="dxa"/>
            <w:vAlign w:val="bottom"/>
          </w:tcPr>
          <w:p>
            <w:pPr>
              <w:spacing w:after="0"/>
              <w:rPr>
                <w:sz w:val="1"/>
                <w:szCs w:val="1"/>
                <w:color w:val="auto"/>
              </w:rPr>
            </w:pPr>
          </w:p>
        </w:tc>
      </w:tr>
      <w:tr>
        <w:trPr>
          <w:trHeight w:val="227"/>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12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62,511</w:t>
            </w:r>
          </w:p>
        </w:tc>
        <w:tc>
          <w:tcPr>
            <w:tcW w:w="0" w:type="dxa"/>
            <w:vAlign w:val="bottom"/>
          </w:tcPr>
          <w:p>
            <w:pPr>
              <w:spacing w:after="0"/>
              <w:rPr>
                <w:sz w:val="1"/>
                <w:szCs w:val="1"/>
                <w:color w:val="auto"/>
              </w:rPr>
            </w:pPr>
          </w:p>
        </w:tc>
      </w:tr>
      <w:tr>
        <w:trPr>
          <w:trHeight w:val="22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86,952</w:t>
            </w:r>
          </w:p>
        </w:tc>
        <w:tc>
          <w:tcPr>
            <w:tcW w:w="0" w:type="dxa"/>
            <w:vAlign w:val="bottom"/>
          </w:tcPr>
          <w:p>
            <w:pPr>
              <w:spacing w:after="0"/>
              <w:rPr>
                <w:sz w:val="1"/>
                <w:szCs w:val="1"/>
                <w:color w:val="auto"/>
              </w:rPr>
            </w:pPr>
          </w:p>
        </w:tc>
      </w:tr>
      <w:tr>
        <w:trPr>
          <w:trHeight w:val="22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86,635</w:t>
            </w:r>
          </w:p>
        </w:tc>
        <w:tc>
          <w:tcPr>
            <w:tcW w:w="0" w:type="dxa"/>
            <w:vAlign w:val="bottom"/>
          </w:tcPr>
          <w:p>
            <w:pPr>
              <w:spacing w:after="0"/>
              <w:rPr>
                <w:sz w:val="1"/>
                <w:szCs w:val="1"/>
                <w:color w:val="auto"/>
              </w:rPr>
            </w:pPr>
          </w:p>
        </w:tc>
      </w:tr>
      <w:tr>
        <w:trPr>
          <w:trHeight w:val="22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86,340</w:t>
            </w:r>
          </w:p>
        </w:tc>
        <w:tc>
          <w:tcPr>
            <w:tcW w:w="0" w:type="dxa"/>
            <w:vAlign w:val="bottom"/>
          </w:tcPr>
          <w:p>
            <w:pPr>
              <w:spacing w:after="0"/>
              <w:rPr>
                <w:sz w:val="1"/>
                <w:szCs w:val="1"/>
                <w:color w:val="auto"/>
              </w:rPr>
            </w:pPr>
          </w:p>
        </w:tc>
      </w:tr>
      <w:tr>
        <w:trPr>
          <w:trHeight w:val="22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preferred stockholders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0" w:type="dxa"/>
            <w:vAlign w:val="bottom"/>
          </w:tcPr>
          <w:p>
            <w:pPr>
              <w:spacing w:after="0"/>
              <w:rPr>
                <w:sz w:val="1"/>
                <w:szCs w:val="1"/>
                <w:color w:val="auto"/>
              </w:rPr>
            </w:pPr>
          </w:p>
        </w:tc>
      </w:tr>
      <w:tr>
        <w:trPr>
          <w:trHeight w:val="22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w:t>
            </w: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91,616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76,523</w:t>
            </w: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34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per share available to common stockholders—basic</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Earnings per share available to common stockholders—diluted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380" w:type="dxa"/>
            <w:vAlign w:val="bottom"/>
            <w:tcBorders>
              <w:bottom w:val="single" w:sz="8" w:color="auto"/>
            </w:tcBorders>
          </w:tcPr>
          <w:p>
            <w:pPr>
              <w:jc w:val="right"/>
              <w:ind w:right="171"/>
              <w:spacing w:after="0" w:line="17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71"/>
              <w:spacing w:after="0" w:line="17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71"/>
              <w:spacing w:after="0" w:line="17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340" w:type="dxa"/>
            <w:vAlign w:val="bottom"/>
            <w:shd w:val="clear" w:color="auto" w:fill="CCEEFF"/>
          </w:tcPr>
          <w:p>
            <w:pPr>
              <w:spacing w:after="0"/>
              <w:rPr>
                <w:sz w:val="15"/>
                <w:szCs w:val="15"/>
                <w:color w:val="auto"/>
              </w:rPr>
            </w:pPr>
          </w:p>
        </w:tc>
        <w:tc>
          <w:tcPr>
            <w:tcW w:w="4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206,226,487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210,286,342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211,518,826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12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208,264,530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211,240,170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212,304,117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DIAMONDROCK HOSPITALITY COMPANY</w:t>
      </w: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 (CONTINUED)</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0"/>
        </w:trPr>
        <w:tc>
          <w:tcPr>
            <w:tcW w:w="5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86,635</w:t>
            </w:r>
          </w:p>
        </w:tc>
      </w:tr>
      <w:tr>
        <w:trPr>
          <w:trHeight w:val="22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interest rate derivative instruments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27"/>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on Rabbi Trust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7"/>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84,592</w:t>
            </w:r>
          </w:p>
        </w:tc>
      </w:tr>
      <w:tr>
        <w:trPr>
          <w:trHeight w:val="22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Company</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84,304</w:t>
            </w:r>
          </w:p>
        </w:tc>
      </w:tr>
      <w:tr>
        <w:trPr>
          <w:trHeight w:val="20"/>
        </w:trPr>
        <w:tc>
          <w:tcPr>
            <w:tcW w:w="5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060"/>
          </w:cols>
          <w:pgMar w:left="320" w:top="359" w:right="51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60"/>
          </w:cols>
          <w:pgMar w:left="320" w:top="359" w:right="51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DIAMONDROCK HOSPITALITY COMPANY</w:t>
      </w:r>
    </w:p>
    <w:p>
      <w:pPr>
        <w:spacing w:after="0" w:line="2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9"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1500" w:type="dxa"/>
            <w:vAlign w:val="bottom"/>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520" w:type="dxa"/>
            <w:vAlign w:val="bottom"/>
            <w:gridSpan w:val="5"/>
          </w:tcPr>
          <w:p>
            <w:pPr>
              <w:ind w:left="3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4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9"/>
                <w:szCs w:val="9"/>
                <w:color w:val="auto"/>
              </w:rPr>
            </w:pPr>
          </w:p>
        </w:tc>
        <w:tc>
          <w:tcPr>
            <w:tcW w:w="900" w:type="dxa"/>
            <w:vAlign w:val="bottom"/>
            <w:gridSpan w:val="2"/>
          </w:tcPr>
          <w:p>
            <w:pPr>
              <w:jc w:val="center"/>
              <w:ind w:right="160"/>
              <w:spacing w:after="0" w:line="10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160" w:type="dxa"/>
            <w:vAlign w:val="bottom"/>
          </w:tcPr>
          <w:p>
            <w:pPr>
              <w:spacing w:after="0"/>
              <w:rPr>
                <w:sz w:val="9"/>
                <w:szCs w:val="9"/>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Par</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Par</w:t>
            </w: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8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980" w:type="dxa"/>
            <w:vAlign w:val="bottom"/>
            <w:gridSpan w:val="3"/>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in excess of</w:t>
            </w:r>
          </w:p>
        </w:tc>
        <w:tc>
          <w:tcPr>
            <w:tcW w:w="900" w:type="dxa"/>
            <w:vAlign w:val="bottom"/>
            <w:gridSpan w:val="3"/>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0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6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7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4,760,000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center"/>
              <w:ind w:left="138"/>
              <w:spacing w:after="0"/>
              <w:rPr>
                <w:sz w:val="20"/>
                <w:szCs w:val="20"/>
                <w:color w:val="auto"/>
              </w:rPr>
            </w:pPr>
            <w:r>
              <w:rPr>
                <w:rFonts w:ascii="Times New Roman" w:cs="Times New Roman" w:eastAsia="Times New Roman" w:hAnsi="Times New Roman"/>
                <w:sz w:val="12"/>
                <w:szCs w:val="12"/>
                <w:color w:val="auto"/>
                <w:w w:val="99"/>
              </w:rPr>
              <w:t>48</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209,374,830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2,288,433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(700,694)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1,589,881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1,596,178</w:t>
            </w:r>
          </w:p>
        </w:tc>
        <w:tc>
          <w:tcPr>
            <w:tcW w:w="0" w:type="dxa"/>
            <w:vAlign w:val="bottom"/>
          </w:tcPr>
          <w:p>
            <w:pPr>
              <w:spacing w:after="0"/>
              <w:rPr>
                <w:sz w:val="1"/>
                <w:szCs w:val="1"/>
                <w:color w:val="auto"/>
              </w:rPr>
            </w:pPr>
          </w:p>
        </w:tc>
      </w:tr>
      <w:tr>
        <w:trPr>
          <w:trHeight w:val="168"/>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86,340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86,635</w:t>
            </w:r>
          </w:p>
        </w:tc>
        <w:tc>
          <w:tcPr>
            <w:tcW w:w="0" w:type="dxa"/>
            <w:vAlign w:val="bottom"/>
          </w:tcPr>
          <w:p>
            <w:pPr>
              <w:spacing w:after="0"/>
              <w:rPr>
                <w:sz w:val="1"/>
                <w:szCs w:val="1"/>
                <w:color w:val="auto"/>
              </w:rPr>
            </w:pPr>
          </w:p>
        </w:tc>
      </w:tr>
      <w:tr>
        <w:trPr>
          <w:trHeight w:val="125"/>
        </w:trPr>
        <w:tc>
          <w:tcPr>
            <w:tcW w:w="246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Unrealized loss on interest rate derivative</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instruments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(2,634)</w:t>
            </w:r>
          </w:p>
        </w:tc>
        <w:tc>
          <w:tcPr>
            <w:tcW w:w="0" w:type="dxa"/>
            <w:vAlign w:val="bottom"/>
          </w:tcPr>
          <w:p>
            <w:pPr>
              <w:spacing w:after="0"/>
              <w:rPr>
                <w:sz w:val="1"/>
                <w:szCs w:val="1"/>
                <w:color w:val="auto"/>
              </w:rPr>
            </w:pPr>
          </w:p>
        </w:tc>
      </w:tr>
      <w:tr>
        <w:trPr>
          <w:trHeight w:val="168"/>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Unrealized gain on Rabbi trust assets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0" w:type="dxa"/>
            <w:vAlign w:val="bottom"/>
          </w:tcPr>
          <w:p>
            <w:pPr>
              <w:spacing w:after="0"/>
              <w:rPr>
                <w:sz w:val="1"/>
                <w:szCs w:val="1"/>
                <w:color w:val="auto"/>
              </w:rPr>
            </w:pPr>
          </w:p>
        </w:tc>
      </w:tr>
      <w:tr>
        <w:trPr>
          <w:trHeight w:val="125"/>
        </w:trPr>
        <w:tc>
          <w:tcPr>
            <w:tcW w:w="246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Distributions on common stock/units ($0.12 per</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share/unit)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(25,159)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(25,159)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(25,286)</w:t>
            </w: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Distributions on preferred stock ($2.0625 per</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preferred share)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(9,817)</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867,041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7,946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7,955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8,771</w:t>
            </w: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Shares redeemed to satisfy withholdings on</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vested share 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(333,779)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(3,032)</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Redemption of common OP units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Common stock repurchased and retired</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(318,454)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(2,423)</w:t>
            </w:r>
          </w:p>
        </w:tc>
        <w:tc>
          <w:tcPr>
            <w:tcW w:w="0" w:type="dxa"/>
            <w:vAlign w:val="bottom"/>
          </w:tcPr>
          <w:p>
            <w:pPr>
              <w:spacing w:after="0"/>
              <w:rPr>
                <w:sz w:val="1"/>
                <w:szCs w:val="1"/>
                <w:color w:val="auto"/>
              </w:rPr>
            </w:pPr>
          </w:p>
        </w:tc>
      </w:tr>
      <w:tr>
        <w:trPr>
          <w:trHeight w:val="172"/>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4,760,000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center"/>
              <w:ind w:left="138"/>
              <w:spacing w:after="0"/>
              <w:rPr>
                <w:sz w:val="20"/>
                <w:szCs w:val="20"/>
                <w:color w:val="auto"/>
              </w:rPr>
            </w:pPr>
            <w:r>
              <w:rPr>
                <w:rFonts w:ascii="Times New Roman" w:cs="Times New Roman" w:eastAsia="Times New Roman" w:hAnsi="Times New Roman"/>
                <w:sz w:val="12"/>
                <w:szCs w:val="12"/>
                <w:color w:val="auto"/>
                <w:w w:val="99"/>
              </w:rPr>
              <w:t>48</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209,627,197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2,291,297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(649,330)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1,642,075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1,648,983</w:t>
            </w:r>
          </w:p>
        </w:tc>
        <w:tc>
          <w:tcPr>
            <w:tcW w:w="0" w:type="dxa"/>
            <w:vAlign w:val="bottom"/>
          </w:tcPr>
          <w:p>
            <w:pPr>
              <w:spacing w:after="0"/>
              <w:rPr>
                <w:sz w:val="1"/>
                <w:szCs w:val="1"/>
                <w:color w:val="auto"/>
              </w:rPr>
            </w:pPr>
          </w:p>
        </w:tc>
      </w:tr>
      <w:tr>
        <w:trPr>
          <w:trHeight w:val="168"/>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48,047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48,250</w:t>
            </w:r>
          </w:p>
        </w:tc>
        <w:tc>
          <w:tcPr>
            <w:tcW w:w="0" w:type="dxa"/>
            <w:vAlign w:val="bottom"/>
          </w:tcPr>
          <w:p>
            <w:pPr>
              <w:spacing w:after="0"/>
              <w:rPr>
                <w:sz w:val="1"/>
                <w:szCs w:val="1"/>
                <w:color w:val="auto"/>
              </w:rPr>
            </w:pPr>
          </w:p>
        </w:tc>
      </w:tr>
      <w:tr>
        <w:trPr>
          <w:trHeight w:val="125"/>
        </w:trPr>
        <w:tc>
          <w:tcPr>
            <w:tcW w:w="246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Unrealized gain on interest rate derivative</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instruments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w:t>
            </w:r>
          </w:p>
        </w:tc>
        <w:tc>
          <w:tcPr>
            <w:tcW w:w="0" w:type="dxa"/>
            <w:vAlign w:val="bottom"/>
          </w:tcPr>
          <w:p>
            <w:pPr>
              <w:spacing w:after="0"/>
              <w:rPr>
                <w:sz w:val="1"/>
                <w:szCs w:val="1"/>
                <w:color w:val="auto"/>
              </w:rPr>
            </w:pPr>
          </w:p>
        </w:tc>
      </w:tr>
      <w:tr>
        <w:trPr>
          <w:trHeight w:val="168"/>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Unrealized gain on Rabbi trust assets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0" w:type="dxa"/>
            <w:vAlign w:val="bottom"/>
          </w:tcPr>
          <w:p>
            <w:pPr>
              <w:spacing w:after="0"/>
              <w:rPr>
                <w:sz w:val="1"/>
                <w:szCs w:val="1"/>
                <w:color w:val="auto"/>
              </w:rPr>
            </w:pPr>
          </w:p>
        </w:tc>
      </w:tr>
      <w:tr>
        <w:trPr>
          <w:trHeight w:val="125"/>
        </w:trPr>
        <w:tc>
          <w:tcPr>
            <w:tcW w:w="246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Distributions on common stock/units ($0.32 per</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share/unit)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(67,950)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(68,311)</w:t>
            </w: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Distributions on preferred stock ($2.0625 per</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preferred share)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(9,817)</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1,854,348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10,057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12,019</w:t>
            </w: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Shares redeemed to satisfy withholdings on</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vested share 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(774,459)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(6,871)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(6,878)</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 repurchased and retired</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(3,114,876)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(25,993)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(25,993)</w:t>
            </w:r>
          </w:p>
        </w:tc>
        <w:tc>
          <w:tcPr>
            <w:tcW w:w="0" w:type="dxa"/>
            <w:vAlign w:val="bottom"/>
          </w:tcPr>
          <w:p>
            <w:pPr>
              <w:spacing w:after="0"/>
              <w:rPr>
                <w:sz w:val="1"/>
                <w:szCs w:val="1"/>
                <w:color w:val="auto"/>
              </w:rPr>
            </w:pPr>
          </w:p>
        </w:tc>
      </w:tr>
      <w:tr>
        <w:trPr>
          <w:trHeight w:val="161"/>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December 31, 2024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4,760,000</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tcPr>
          <w:p>
            <w:pPr>
              <w:jc w:val="center"/>
              <w:ind w:left="138"/>
              <w:spacing w:after="0"/>
              <w:rPr>
                <w:sz w:val="20"/>
                <w:szCs w:val="20"/>
                <w:color w:val="auto"/>
              </w:rPr>
            </w:pPr>
            <w:r>
              <w:rPr>
                <w:rFonts w:ascii="Times New Roman" w:cs="Times New Roman" w:eastAsia="Times New Roman" w:hAnsi="Times New Roman"/>
                <w:sz w:val="12"/>
                <w:szCs w:val="12"/>
                <w:color w:val="auto"/>
                <w:w w:val="99"/>
              </w:rPr>
              <w:t>48</w:t>
            </w:r>
          </w:p>
        </w:tc>
        <w:tc>
          <w:tcPr>
            <w:tcW w:w="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207,592,210</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2,076</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2,268,521</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(1,360)</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(679,050)</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1,590,235</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8,697</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1,598,932</w:t>
            </w:r>
          </w:p>
        </w:tc>
        <w:tc>
          <w:tcPr>
            <w:tcW w:w="0" w:type="dxa"/>
            <w:vAlign w:val="bottom"/>
          </w:tcPr>
          <w:p>
            <w:pPr>
              <w:spacing w:after="0"/>
              <w:rPr>
                <w:sz w:val="1"/>
                <w:szCs w:val="1"/>
                <w:color w:val="auto"/>
              </w:rPr>
            </w:pPr>
          </w:p>
        </w:tc>
      </w:tr>
      <w:tr>
        <w:trPr>
          <w:trHeight w:val="17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101,433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101,433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101,942</w:t>
            </w: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Unrealized loss on interest rate derivative</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instruments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(4,677)</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Unrealized loss on Rabbi trust assets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Amounts reclassified from other comprehensive</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w:t>
            </w:r>
          </w:p>
        </w:tc>
        <w:tc>
          <w:tcPr>
            <w:tcW w:w="0" w:type="dxa"/>
            <w:vAlign w:val="bottom"/>
          </w:tcPr>
          <w:p>
            <w:pPr>
              <w:spacing w:after="0"/>
              <w:rPr>
                <w:sz w:val="1"/>
                <w:szCs w:val="1"/>
                <w:color w:val="auto"/>
              </w:rPr>
            </w:pPr>
          </w:p>
        </w:tc>
      </w:tr>
      <w:tr>
        <w:trPr>
          <w:trHeight w:val="128"/>
        </w:trPr>
        <w:tc>
          <w:tcPr>
            <w:tcW w:w="2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Distributions on common stock/units ($0.36 per</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share/unit)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(74,775)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(74,775)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(75,184)</w:t>
            </w: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Distributions on preferred stock ($2.0625 per</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preferred share)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(9,817)</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1,518,832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6,995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7,423</w:t>
            </w: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Shares redeemed to satisfy withholdings on</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vested share 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(609,218)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(5,054)</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Redemption of preferred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(118,952)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(119,000)</w:t>
            </w:r>
          </w:p>
        </w:tc>
        <w:tc>
          <w:tcPr>
            <w:tcW w:w="0" w:type="dxa"/>
            <w:vAlign w:val="bottom"/>
          </w:tcPr>
          <w:p>
            <w:pPr>
              <w:spacing w:after="0"/>
              <w:rPr>
                <w:sz w:val="1"/>
                <w:szCs w:val="1"/>
                <w:color w:val="auto"/>
              </w:rPr>
            </w:pPr>
          </w:p>
        </w:tc>
      </w:tr>
      <w:tr>
        <w:trPr>
          <w:trHeight w:val="168"/>
        </w:trPr>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Common stock repurchased and retired</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(4,798,642)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(37,063)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(37,111)</w:t>
            </w:r>
          </w:p>
        </w:tc>
        <w:tc>
          <w:tcPr>
            <w:tcW w:w="0" w:type="dxa"/>
            <w:vAlign w:val="bottom"/>
          </w:tcPr>
          <w:p>
            <w:pPr>
              <w:spacing w:after="0"/>
              <w:rPr>
                <w:sz w:val="1"/>
                <w:szCs w:val="1"/>
                <w:color w:val="auto"/>
              </w:rPr>
            </w:pPr>
          </w:p>
        </w:tc>
      </w:tr>
      <w:tr>
        <w:trPr>
          <w:trHeight w:val="197"/>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December 31,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shd w:val="clear" w:color="auto" w:fill="CCEEFF"/>
          </w:tcPr>
          <w:p>
            <w:pPr>
              <w:jc w:val="center"/>
              <w:ind w:left="138"/>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203,703,182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2,114,438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(662,209)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1,447,885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1,457,085</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359" w:right="5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DIAMONDROCK HOSPITALITY COMPANY</w:t>
      </w: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7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6"/>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r>
      <w:tr>
        <w:trPr>
          <w:trHeight w:val="25"/>
        </w:trPr>
        <w:tc>
          <w:tcPr>
            <w:tcW w:w="7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7"/>
        </w:trPr>
        <w:tc>
          <w:tcPr>
            <w:tcW w:w="7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5"/>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5"/>
        </w:trPr>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101,942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48,250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86,635</w:t>
            </w:r>
          </w:p>
        </w:tc>
      </w:tr>
      <w:tr>
        <w:trPr>
          <w:trHeight w:val="192"/>
        </w:trPr>
        <w:tc>
          <w:tcPr>
            <w:tcW w:w="7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8"/>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113,107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113,588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111,302</w:t>
            </w:r>
          </w:p>
        </w:tc>
      </w:tr>
      <w:tr>
        <w:trPr>
          <w:trHeight w:val="192"/>
        </w:trPr>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Corporate asset depreciation as corporate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08"/>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lease expense and other amortization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5,970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6,156</w:t>
            </w:r>
          </w:p>
        </w:tc>
      </w:tr>
      <w:tr>
        <w:trPr>
          <w:trHeight w:val="208"/>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Non-cash interest rate swap fair value adjustment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r>
      <w:tr>
        <w:trPr>
          <w:trHeight w:val="192"/>
        </w:trPr>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1,967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w:t>
            </w:r>
          </w:p>
        </w:tc>
      </w:tr>
      <w:tr>
        <w:trPr>
          <w:trHeight w:val="208"/>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Impairment losses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34,169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r>
      <w:tr>
        <w:trPr>
          <w:trHeight w:val="192"/>
        </w:trPr>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deferred income related to key money</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208"/>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12,019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8,771</w:t>
            </w:r>
          </w:p>
        </w:tc>
      </w:tr>
      <w:tr>
        <w:trPr>
          <w:trHeight w:val="192"/>
        </w:trPr>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208"/>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2"/>
        </w:trPr>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w:t>
            </w:r>
          </w:p>
        </w:tc>
      </w:tr>
      <w:tr>
        <w:trPr>
          <w:trHeight w:val="208"/>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Due to/from hotel managers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3,459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24,151</w:t>
            </w:r>
          </w:p>
        </w:tc>
      </w:tr>
      <w:tr>
        <w:trPr>
          <w:trHeight w:val="193"/>
        </w:trPr>
        <w:tc>
          <w:tcPr>
            <w:tcW w:w="7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7,387</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9,682</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r>
      <w:tr>
        <w:trPr>
          <w:trHeight w:val="200"/>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243,650</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224,409</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237,564</w:t>
            </w:r>
          </w:p>
        </w:tc>
      </w:tr>
      <w:tr>
        <w:trPr>
          <w:trHeight w:val="169"/>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
        </w:trPr>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(81,563)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(81,588)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(86,314)</w:t>
            </w:r>
          </w:p>
        </w:tc>
      </w:tr>
      <w:tr>
        <w:trPr>
          <w:trHeight w:val="192"/>
        </w:trPr>
        <w:tc>
          <w:tcPr>
            <w:tcW w:w="7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acquisitions</w:t>
            </w:r>
          </w:p>
        </w:tc>
        <w:tc>
          <w:tcPr>
            <w:tcW w:w="2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(32,699)</w:t>
            </w:r>
          </w:p>
        </w:tc>
      </w:tr>
      <w:tr>
        <w:trPr>
          <w:trHeight w:val="208"/>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proceeds from sale of hotel property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89,023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interest in land</w:t>
            </w:r>
          </w:p>
        </w:tc>
        <w:tc>
          <w:tcPr>
            <w:tcW w:w="2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w:t>
            </w:r>
          </w:p>
        </w:tc>
      </w:tr>
      <w:tr>
        <w:trPr>
          <w:trHeight w:val="200"/>
        </w:trPr>
        <w:tc>
          <w:tcPr>
            <w:tcW w:w="72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7,460</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(112,120)</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(120,846)</w:t>
            </w:r>
          </w:p>
        </w:tc>
      </w:tr>
      <w:tr>
        <w:trPr>
          <w:trHeight w:val="169"/>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
        </w:trPr>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debt principal payments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(295,808)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(82,382)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(9,544)</w:t>
            </w:r>
          </w:p>
        </w:tc>
      </w:tr>
      <w:tr>
        <w:trPr>
          <w:trHeight w:val="192"/>
        </w:trPr>
        <w:tc>
          <w:tcPr>
            <w:tcW w:w="7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(37,111)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r>
      <w:tr>
        <w:trPr>
          <w:trHeight w:val="208"/>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senior unsecured term loan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Draws on senior unsecured credit facility</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senior unsecured credit facility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financing costs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on common stock and units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(98,314)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(31,909)</w:t>
            </w:r>
          </w:p>
        </w:tc>
      </w:tr>
      <w:tr>
        <w:trPr>
          <w:trHeight w:val="192"/>
        </w:trPr>
        <w:tc>
          <w:tcPr>
            <w:tcW w:w="7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on preferred stock</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(9,817)</w:t>
            </w:r>
          </w:p>
        </w:tc>
      </w:tr>
      <w:tr>
        <w:trPr>
          <w:trHeight w:val="208"/>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of preferred stock</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Shares redeemed to satisfy tax withholdings on vested share-based compensation</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(6,878)</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(3,032)</w:t>
            </w:r>
          </w:p>
        </w:tc>
      </w:tr>
      <w:tr>
        <w:trPr>
          <w:trHeight w:val="200"/>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(276,678)</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(150,671)</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(56,725)</w:t>
            </w:r>
          </w:p>
        </w:tc>
      </w:tr>
      <w:tr>
        <w:trPr>
          <w:trHeight w:val="186"/>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 and restricted cash</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59,993</w:t>
            </w:r>
          </w:p>
        </w:tc>
      </w:tr>
      <w:tr>
        <w:trPr>
          <w:trHeight w:val="20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128,789</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167,171</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107,178</w:t>
            </w:r>
          </w:p>
        </w:tc>
      </w:tr>
      <w:tr>
        <w:trPr>
          <w:trHeight w:val="20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year</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103,221</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128,789</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167,171</w:t>
            </w: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11080"/>
          </w:cols>
          <w:pgMar w:left="320" w:top="359" w:right="4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359" w:right="4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DIAMONDROCK HOSPITALITY COMPANY</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2" w:lineRule="exact"/>
        <w:rPr>
          <w:sz w:val="20"/>
          <w:szCs w:val="20"/>
          <w:color w:val="auto"/>
        </w:rPr>
      </w:pPr>
    </w:p>
    <w:tbl>
      <w:tblPr>
        <w:tblLayout w:type="fixed"/>
        <w:tblInd w:w="108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6"/>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8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58,751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63,775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60,363</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531</w:t>
            </w:r>
          </w:p>
        </w:tc>
        <w:tc>
          <w:tcPr>
            <w:tcW w:w="1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4,654</w:t>
            </w:r>
          </w:p>
        </w:tc>
        <w:tc>
          <w:tcPr>
            <w:tcW w:w="1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2,666</w:t>
            </w:r>
          </w:p>
        </w:tc>
        <w:tc>
          <w:tcPr>
            <w:tcW w:w="0" w:type="dxa"/>
            <w:vAlign w:val="bottom"/>
          </w:tcPr>
          <w:p>
            <w:pPr>
              <w:spacing w:after="0"/>
              <w:rPr>
                <w:sz w:val="1"/>
                <w:szCs w:val="1"/>
                <w:color w:val="auto"/>
              </w:rPr>
            </w:pPr>
          </w:p>
        </w:tc>
      </w:tr>
      <w:tr>
        <w:trPr>
          <w:trHeight w:val="25"/>
        </w:trPr>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Unpaid dividends and distributions declared</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25,903</w:t>
            </w:r>
          </w:p>
        </w:tc>
        <w:tc>
          <w:tcPr>
            <w:tcW w:w="1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49,034</w:t>
            </w:r>
          </w:p>
        </w:tc>
        <w:tc>
          <w:tcPr>
            <w:tcW w:w="1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6,324</w:t>
            </w:r>
          </w:p>
        </w:tc>
        <w:tc>
          <w:tcPr>
            <w:tcW w:w="0" w:type="dxa"/>
            <w:vAlign w:val="bottom"/>
          </w:tcPr>
          <w:p>
            <w:pPr>
              <w:spacing w:after="0"/>
              <w:rPr>
                <w:sz w:val="1"/>
                <w:szCs w:val="1"/>
                <w:color w:val="auto"/>
              </w:rPr>
            </w:pPr>
          </w:p>
        </w:tc>
      </w:tr>
      <w:tr>
        <w:trPr>
          <w:trHeight w:val="25"/>
        </w:trPr>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2,500</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5,438</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4,667</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Redemption of Operating Partnership units for common stock</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During 2025, we extinguished $300.0 million of our existing term loan and issued $300.0 million of new term loans in a non-cash refinancing transaction.</w:t>
      </w:r>
    </w:p>
    <w:p>
      <w:pPr>
        <w:spacing w:after="0" w:line="252" w:lineRule="exact"/>
        <w:rPr>
          <w:sz w:val="20"/>
          <w:szCs w:val="20"/>
          <w:color w:val="auto"/>
        </w:rPr>
      </w:pPr>
    </w:p>
    <w:p>
      <w:pPr>
        <w:ind w:firstLine="440"/>
        <w:spacing w:after="0" w:line="293"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within the consolidated balance sheets to the amount shown within the consolidated statements of cash flows: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7"/>
        </w:trPr>
        <w:tc>
          <w:tcPr>
            <w:tcW w:w="7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68,084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81,381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121,595</w:t>
            </w:r>
          </w:p>
        </w:tc>
      </w:tr>
      <w:tr>
        <w:trPr>
          <w:trHeight w:val="19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35,137</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47,408</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45,576</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103,221</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128,789</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167,171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40"/>
          </w:cols>
          <w:pgMar w:left="320" w:top="359" w:right="339" w:bottom="1055"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055"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DIAMONDROCK HOSPITALITY COMPANY</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48" w:lineRule="exact"/>
        <w:rPr>
          <w:sz w:val="20"/>
          <w:szCs w:val="20"/>
          <w:color w:val="auto"/>
        </w:rPr>
      </w:pPr>
    </w:p>
    <w:p>
      <w:pPr>
        <w:jc w:val="both"/>
        <w:ind w:firstLine="440"/>
        <w:spacing w:after="0" w:line="250" w:lineRule="auto"/>
        <w:rPr>
          <w:sz w:val="20"/>
          <w:szCs w:val="20"/>
          <w:color w:val="auto"/>
        </w:rPr>
      </w:pPr>
      <w:r>
        <w:rPr>
          <w:rFonts w:ascii="Times New Roman" w:cs="Times New Roman" w:eastAsia="Times New Roman" w:hAnsi="Times New Roman"/>
          <w:sz w:val="18"/>
          <w:szCs w:val="18"/>
          <w:color w:val="auto"/>
        </w:rPr>
        <w:t>DiamondRock Hospitality Company (the “Company” or “we”) is a lodging focused real estate company that owns a portfolio of premium hotels and resorts. As of December 31, 2025, we owned 35 hotels with 9,595 rooms. Our portfolio is concentrated in major urban markets and destination resort locations. We are an owner, as opposed to an operator, of the hotels in our portfolio. As an owner, we receive all operating profits or losses generated by our hotels after we pay fees to the hotel managers and hotel brands, which are based on the revenues and profitability of the hotels. Each hotel is uniquely positioned to maximize the cash flow and value; accordingly, nearly 40% of our portfolio is operated as an independent hotel and the remainder is operated under a brand owned by one of the leading global lodging brand companies.</w:t>
      </w:r>
    </w:p>
    <w:p>
      <w:pPr>
        <w:spacing w:after="0" w:line="5" w:lineRule="exact"/>
        <w:rPr>
          <w:sz w:val="20"/>
          <w:szCs w:val="20"/>
          <w:color w:val="auto"/>
        </w:rPr>
      </w:pPr>
    </w:p>
    <w:p>
      <w:pPr>
        <w:jc w:val="both"/>
        <w:ind w:firstLine="440"/>
        <w:spacing w:after="0" w:line="249" w:lineRule="auto"/>
        <w:rPr>
          <w:sz w:val="20"/>
          <w:szCs w:val="20"/>
          <w:color w:val="auto"/>
        </w:rPr>
      </w:pPr>
      <w:r>
        <w:rPr>
          <w:rFonts w:ascii="Times New Roman" w:cs="Times New Roman" w:eastAsia="Times New Roman" w:hAnsi="Times New Roman"/>
          <w:sz w:val="18"/>
          <w:szCs w:val="18"/>
          <w:color w:val="auto"/>
        </w:rPr>
        <w:t>We are a real estate investment trust (“REIT”) for U.S. federal income tax purposes. We conduct our business through a traditional umbrella partnership real estate investment trust, or UPREIT, in which our hotel properties are owned by our operating partnership, DiamondRock Hospitality Limited Partnership, or subsidiaries of our operating partnership. The Company is the sole general partner of our operating partnership and owns 99.5% of the limited partnership units (“common OP units”) of our operating partnership as of December 31, 2025. The remaining 0.5% of the common OP units are held by third parties and executive officers of the Company. See Note 9 for additional disclosures related to common OP units.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48" w:lineRule="exact"/>
        <w:rPr>
          <w:sz w:val="20"/>
          <w:szCs w:val="20"/>
          <w:color w:val="auto"/>
        </w:rPr>
      </w:pPr>
    </w:p>
    <w:p>
      <w:pPr>
        <w:jc w:val="both"/>
        <w:ind w:firstLine="440"/>
        <w:spacing w:after="0" w:line="273" w:lineRule="auto"/>
        <w:rPr>
          <w:sz w:val="20"/>
          <w:szCs w:val="20"/>
          <w:color w:val="auto"/>
        </w:rPr>
      </w:pPr>
      <w:r>
        <w:rPr>
          <w:rFonts w:ascii="Times New Roman" w:cs="Times New Roman" w:eastAsia="Times New Roman" w:hAnsi="Times New Roman"/>
          <w:sz w:val="17"/>
          <w:szCs w:val="17"/>
          <w:color w:val="auto"/>
        </w:rPr>
        <w:t xml:space="preserve">Our consolidated financial statements include all accounts of the Company and its subsidiaries in accordance with U.S. generally accepted accounting principles (“U.S. GAAP”). All intercompany accounts and transactions have been eliminated upon consolidation. If the Company determines that it has an interest in a variable interest entity within the meaning of the Financial Accounting Standards Board (“FASB”) Accounting Standards Codification (“ASC”)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the Company will consolidate the entity when it is determined to be the primary beneficiary of the entity. Our operating partnership meets the criteria of a variable interest entity. The Company is the primary beneficiary and, accordingly, we consolidate our operating partnership.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48"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48"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In evaluating fair value, U.S. GAAP outlines a valuation framework and creates a fair value hierarchy that distinguishes between assumptions based on market data (observable inputs) and a reporting entity’s own assumptions (unobservable inputs). The hierarchy ranks the quality and reliability of inputs used to determine fair value, which are then classified and disclosed in one of the three categories. The three levels are as follows:</w:t>
      </w:r>
    </w:p>
    <w:p>
      <w:pPr>
        <w:spacing w:after="0" w:line="204" w:lineRule="exact"/>
        <w:rPr>
          <w:sz w:val="20"/>
          <w:szCs w:val="20"/>
          <w:color w:val="auto"/>
        </w:rPr>
      </w:pPr>
    </w:p>
    <w:p>
      <w:pPr>
        <w:ind w:left="640" w:hanging="154"/>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(unadjusted) in active markets for identical assets or liabilities</w:t>
      </w:r>
    </w:p>
    <w:p>
      <w:pPr>
        <w:spacing w:after="0" w:line="25" w:lineRule="exact"/>
        <w:rPr>
          <w:rFonts w:ascii="Times New Roman" w:cs="Times New Roman" w:eastAsia="Times New Roman" w:hAnsi="Times New Roman"/>
          <w:sz w:val="18"/>
          <w:szCs w:val="18"/>
          <w:color w:val="auto"/>
        </w:rPr>
      </w:pPr>
    </w:p>
    <w:p>
      <w:pPr>
        <w:ind w:left="640" w:hanging="154"/>
        <w:spacing w:after="0" w:line="247"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include quoted prices in active markets for similar assets and liabilities, quoted prices for identical or similar assets in markets that are not active and model-derived valuations whose inputs are observable</w:t>
      </w:r>
    </w:p>
    <w:p>
      <w:pPr>
        <w:ind w:left="640" w:hanging="154"/>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Model-derived valuations with unobservable inputs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48" w:lineRule="exact"/>
        <w:rPr>
          <w:sz w:val="20"/>
          <w:szCs w:val="20"/>
          <w:color w:val="auto"/>
        </w:rPr>
      </w:pPr>
    </w:p>
    <w:p>
      <w:pPr>
        <w:ind w:right="20" w:firstLine="440"/>
        <w:spacing w:after="0" w:line="276" w:lineRule="auto"/>
        <w:rPr>
          <w:sz w:val="20"/>
          <w:szCs w:val="20"/>
          <w:color w:val="auto"/>
        </w:rPr>
      </w:pPr>
      <w:r>
        <w:rPr>
          <w:rFonts w:ascii="Times New Roman" w:cs="Times New Roman" w:eastAsia="Times New Roman" w:hAnsi="Times New Roman"/>
          <w:sz w:val="18"/>
          <w:szCs w:val="18"/>
          <w:color w:val="auto"/>
        </w:rPr>
        <w:t>Property and equipment are recorded at cost. Costs of improvements that extend the economic life or improve service potential, which generally includes significant improvements, renovations and replacements, are capitalized, while repairs and maintenance are expensed as incurred.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Acquisitions of hotel properties are generally accounted for as acquisitions of a group of assets and recorded at their relative fair value based upon total accumulated cost of the acquisition. The acquisition cost is allocated to land, buildings, improvements, furniture, fixtures and equipment, as well as identifiable intangible and lease assets and liabilities. In making estimates of fair values for purposes of allocating purchase price, we evaluate several factors, including but not limited to comparable sales, expected future cash flows discounted at risk adjusted rates as well as industry and Company data. Direct acquisition-related costs are capitalized as a component of the acquired assets.</w:t>
      </w:r>
    </w:p>
    <w:p>
      <w:pPr>
        <w:spacing w:after="0" w:line="211"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Depreciation is recorded using the straight-line method over the assets' estimated useful lives, which are generally as follows: 15 to 40 years for buildings and improvements; 1 to 10 years for furniture, fixtures and equipment; and 3 to 5 years for computer equipment and acquired software.</w:t>
      </w:r>
    </w:p>
    <w:p>
      <w:pPr>
        <w:spacing w:after="0" w:line="190" w:lineRule="exact"/>
        <w:rPr>
          <w:sz w:val="20"/>
          <w:szCs w:val="20"/>
          <w:color w:val="auto"/>
        </w:rPr>
      </w:pPr>
    </w:p>
    <w:p>
      <w:pPr>
        <w:jc w:val="both"/>
        <w:ind w:firstLine="440"/>
        <w:spacing w:after="0" w:line="251" w:lineRule="auto"/>
        <w:rPr>
          <w:sz w:val="20"/>
          <w:szCs w:val="20"/>
          <w:color w:val="auto"/>
        </w:rPr>
      </w:pPr>
      <w:r>
        <w:rPr>
          <w:rFonts w:ascii="Times New Roman" w:cs="Times New Roman" w:eastAsia="Times New Roman" w:hAnsi="Times New Roman"/>
          <w:sz w:val="18"/>
          <w:szCs w:val="18"/>
          <w:color w:val="auto"/>
        </w:rPr>
        <w:t>We evaluate the carrying value of our property and equipment for indicators of impairment. Indicators of impairment that may cause a review include, but are not limited to, adverse changes in the demand for lodging at our hotels, current or projected losses from operations, and an expectation that a hotel is more likely than not to be sold significantly before the end of its useful life. When such indicators exist, we perform an analysis to determine the recoverability of the asset group by comparing the estimated undiscounted future cash flows, including the proceeds from the ultimate disposition of a hotel, less costs to sell, to the net carrying value of the asset group. If the carrying value of the asset group is not recoverable and it exceeds the estimated fair value of the asset group, we recognize an impairment loss in our consolidated statement of operations and comprehensive income for the amount by which the carrying value exceeds the estimated fair value. We allocate the impairment loss related to the asset group among the various assets within the asset group pro rata based on the relative carrying values of the respective assets.</w:t>
      </w:r>
    </w:p>
    <w:p>
      <w:pPr>
        <w:spacing w:after="0" w:line="214"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We will classify a hotel as held for sale in the period that we have made the decision to dispose of the hotel, a binding agreement to purchase the property has been signed under which the buyer has committed a significant amount of nonrefundable cash and no significant financing or other contingencies exist which could cause the transaction to not be completed in a timely manner. If these criteria are met, we will record an impairment loss if the fair value less costs to sell is lower than the carrying amount of the hotel and related assets and will cease recording depreciation expense. We will classify the assets and related liabilities as held for sale on the balance sheet.</w:t>
      </w:r>
    </w:p>
    <w:p>
      <w:pPr>
        <w:spacing w:after="0" w:line="211"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Upon the sale or retirement of a fixed asset, the cost and related accumulated depreciation are removed from the Company’s balance sheet and any resulting gain or loss is included in the statements of operations and comprehensive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and cash equivalents include all highly liquid investments with original maturities, when purchased, of three months or less.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8"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Revenues from hotel operations are recognized when the goods or services are provided. Revenues consist of room sales, food and beverage sales, and other hotel department revenues, such as telephone, parking, gift shop sales and resort fees. Rooms revenue is recognized over the length of stay that the hotel room is occupied by the customer. Food and beverage revenue is recognized at the point in time in which the goods and/or services are rendered to the customer, such as restaurant dining services or banquet services. Other revenues are recognized at the point in time or over the time period that goods or services are provided to the customer. Certain ancillary services are provided by third parties and we assess whether we are the principal or agent in these arrangements. If we are the agent, revenue is recognized based upon the commission earned from the third party. If we are the principal, we recognize revenue based upon the gross sales price.</w:t>
      </w:r>
    </w:p>
    <w:p>
      <w:pPr>
        <w:spacing w:after="0" w:line="211"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color w:val="auto"/>
        </w:rPr>
        <w:t>Advance deposits are recorded as liabilities when a customer or group of customers provides a deposit for a future stay or banquet event at our hotels. Advance deposits are recognized as revenue when the services are provided to the customer or when a customer with a noncancelable reservation fails to arrive for part or all of the reservation. Conversely, advance deposits are generally refundable upon guest cancellation of the related reservation within an established period of time prior to the reservation.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8"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REIT under the provisions of the Internal Revenue Code, which requires that we distribute at least 90% of our taxable income annually to our stockholders and comply with certain other requirements. In addition to paying federal and state taxes on any retained income, we may be subject to taxes on “built-in gains” on sales of</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assets. Our taxable REIT subsidiaries will generally be subject to federal, state, and/or local income taxes. In order for the income from our hotel property investments to constitute “rents from real properties” for purposes of the gross income tests required for REIT qualification, the income we earn cannot be derived from the operation of any of our hotels. Therefore, we lease each of our hotel properties to wholly owned taxable REIT subsidiaries.</w:t>
      </w:r>
    </w:p>
    <w:p>
      <w:pPr>
        <w:spacing w:after="0" w:line="204" w:lineRule="exact"/>
        <w:rPr>
          <w:sz w:val="20"/>
          <w:szCs w:val="20"/>
          <w:color w:val="auto"/>
        </w:rPr>
      </w:pPr>
    </w:p>
    <w:p>
      <w:pPr>
        <w:jc w:val="both"/>
        <w:ind w:firstLine="440"/>
        <w:spacing w:after="0" w:line="25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Deferred tax assets and liabilities are recognized for the estimated future tax consequences attributable to the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The effect on deferred tax assets and liabilities from a change in tax rates is recognized in earnings during the period in which the new rate is enacted. However, deferred tax assets are recognized only to the extent that it is more likely than not that they will be realized based on consideration of all available evidence, including the future reversals of existing taxable temporary differences, future projected taxable income and tax planning strategies. Valuation allowances are provided if, based upon the weight of the available evidence, it is more likely than not that some or all of the deferred tax assets will not be realized.</w:t>
      </w:r>
    </w:p>
    <w:p>
      <w:pPr>
        <w:spacing w:after="0" w:line="214"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We may recognize a tax benefit from an uncertain tax position when it is more likely than not that the position will be sustained upon examination, including resolutions of any related appeals or litigation processes, based on the technical merits. If a tax position does not meet the more likely than not recognition threshold, despite our belief that our filing position is supportable, the benefit of that tax position is not recognized in the consolidated statements of operations and comprehensive income. We recognize interest and penalties, as applicable, related to unrecognized tax benefits as a component of income tax expense. We recognize unrecognized tax benefits in the period that the uncertainty is eliminated by either affirmative agreement of the uncertain tax position by the applicable taxing authority, or by expiration of the applicable statute of limitations. We had no uncertain tax positions as of December 31, 2025 and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and Liabilities</w:t>
      </w:r>
    </w:p>
    <w:p>
      <w:pPr>
        <w:spacing w:after="0" w:line="248"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Intangible assets and liabilities recorded may include trade names, management or franchise agreement intangibles, right-to-manage assets, and in-place lease intangibles assumed as part of the acquisition of certain hotels. We review the terms of agreements assumed in conjunction with the purchase of a hotel to determine if an intangible asset or liability exists. Intangible assets or liabilities are recorded at the acquisition date and amortized using the straight-line method over the expected useful life. We do not amortize intangible assets with indefinite useful lives, but we review these assets for impairment annually or at interim periods if events or circumstances indicate that the asset may be impaired.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48"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color w:val="auto"/>
        </w:rPr>
        <w:t>Basic earnings per share (“EPS”) is calculated by dividing net income attributable to common stockholders by the weighted-average number of common shares outstanding during the period. Diluted EPS is calculated by dividing net income attributable to common stockholders by the weighted-average number of common shares outstanding during the period plus other potentially dilutive securities such as stock grants. No adjustment is made for shares that are anti-dilutive during a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Payments</w:t>
      </w: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may award time-based restricted stock awards and performance-based stock awards to officers, employees and non-employee directors.</w:t>
      </w:r>
    </w:p>
    <w:p>
      <w:pPr>
        <w:spacing w:after="0" w:line="258"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Restricted stock awards vest in equal annual installments over three to five years from the date of grant. Vested restricted stock awards are settled for the Company's common stock. The grant date fair value per share is equal to the closing stock price on the date of grant.</w:t>
      </w:r>
    </w:p>
    <w:p>
      <w:pPr>
        <w:spacing w:after="0" w:line="190" w:lineRule="exact"/>
        <w:rPr>
          <w:sz w:val="20"/>
          <w:szCs w:val="20"/>
          <w:color w:val="auto"/>
        </w:rPr>
      </w:pPr>
    </w:p>
    <w:p>
      <w:pPr>
        <w:jc w:val="both"/>
        <w:ind w:firstLine="440"/>
        <w:spacing w:after="0" w:line="251" w:lineRule="auto"/>
        <w:rPr>
          <w:sz w:val="20"/>
          <w:szCs w:val="20"/>
          <w:color w:val="auto"/>
        </w:rPr>
      </w:pPr>
      <w:r>
        <w:rPr>
          <w:rFonts w:ascii="Times New Roman" w:cs="Times New Roman" w:eastAsia="Times New Roman" w:hAnsi="Times New Roman"/>
          <w:sz w:val="18"/>
          <w:szCs w:val="18"/>
          <w:color w:val="auto"/>
        </w:rPr>
        <w:t>Performance-based awards are generally settled at the end of a three-year performance period. For awards granted before 2025, 50 percent of the award is subject to achievement based on a measure of the Company's total stockholder return relative to a peer company group (“TSR award”) and the other 50 percent of the award is subject to achievement of hotel market share improvement (“HMS award”). The total number of performance shares that vest based on each performance measure (relative stockholder return and hotel market share improvement) is based on an achievement factor that, in each case, ranges from zero to 150 percent payout. In 2025, all performance-based awards granted were TSR awards. For the 2025 TSR awards, the maximum number of shares of common stock issued to an executive officer ranges from zero to 300 percent payout. The grant date fair value of the relative stockholder return awards is estimated using the Monte Carlo simulation, and the grant date fair value for the hotel market share improvement awards is equal to the closing stock price on the date of grant.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The measurement objective for these share-based awards is the estimated fair value at the grant date of the equity instruments that we are obligated to issue when employees have rendered the requisite service and satisfied any other conditions necessary to earn the right to benefit from the awards. We recognize share-based compensation expense ratably over the requisite service period which is included in corporate expenses in the accompanying consolidated statements of operations and comprehensive income. The requisite service period is the period during which an employee is required to provide service in exchange for an award. We recognize forfeitures as they occur. Compensation expense for awards with performance conditions is recognized over the requisite service period if it is probable that the performance condition will be satisfied. If such performance conditions are not considered probable, no compensation expense for these awards is recognized.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48" w:lineRule="exact"/>
        <w:rPr>
          <w:sz w:val="20"/>
          <w:szCs w:val="20"/>
          <w:color w:val="auto"/>
        </w:rPr>
      </w:pPr>
    </w:p>
    <w:p>
      <w:pPr>
        <w:jc w:val="both"/>
        <w:ind w:firstLine="440"/>
        <w:spacing w:after="0" w:line="251" w:lineRule="auto"/>
        <w:rPr>
          <w:sz w:val="20"/>
          <w:szCs w:val="20"/>
          <w:color w:val="auto"/>
        </w:rPr>
      </w:pPr>
      <w:r>
        <w:rPr>
          <w:rFonts w:ascii="Times New Roman" w:cs="Times New Roman" w:eastAsia="Times New Roman" w:hAnsi="Times New Roman"/>
          <w:sz w:val="18"/>
          <w:szCs w:val="18"/>
          <w:color w:val="auto"/>
        </w:rPr>
        <w:t>In the normal course of business, we are exposed to the effects of interest rate changes in connection with our variable rate debt. We may enter into derivative instruments, including interest rate swaps and caps, to manage or hedge interest rate risk. The Company recognizes all derivatives as assets or liabilities on its consolidated balance sheets at fair value. On the date the derivative contract is entered into, or at a later point in time, we may designate the derivative as a hedging instrument, and, if so, we formally document all relationships between hedging activities, including the risk management objective and strategy for undertaking various hedge transactions. Changes in the fair value of a derivative that was determined to be an effective cash flow hedge are reported in other comprehensive income (loss) and are reclassified to interest expense in the same period during which the hedged transaction affects earnings. If we do not specifically designate the derivative as a cash flow hedge, changes in the fair value of the undesignated derivative instrument are reported in current period earnings.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48"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The noncontrolling interest is the portion of equity in our consolidated operating partnership not attributable, directly or indirectly, to the Company. Such noncontrolling interests are reported on the consolidated balance sheets within equity, separately from the Company’s equity. The noncontrolling interests are classified as permanent equity as we have the right to choose to settle each holder's redemption of the interests in either cash or delivery of shares of our common stock. See Note 9 for additional details. On the consolidated statements of operations and comprehensive income, revenues, expenses and net income or loss from our less-than-wholly-owned operating partnership are reported within the consolidated amounts, including both the amounts attributable to the Company and noncontrolling interests. Income or loss is allocated to noncontrolling interests based on their weighted average ownership percentage for the applicable period. Consolidated statements of equity include beginning balances, activity for the period and ending balances for stockholders’ equity, noncontrolling interests and total equity.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48"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Restricted cash primarily consists of cash held in reserve for replacement of furniture and fixtures and cash held in escrow pursuant to lender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35"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18"/>
          <w:szCs w:val="18"/>
          <w:color w:val="auto"/>
        </w:rPr>
        <w:t>Financing costs are recorded at cost as a component of the debt carrying amount and consist of loan fees and other costs incurred in connection with the issuance of debt. Amortization of debt issuance costs is computed using a method that approximates the effective interest method over the remaining life of the debt and is included in interest expense in the accompanying consolidated statements of operations and comprehensive income.</w:t>
      </w:r>
    </w:p>
    <w:p>
      <w:pPr>
        <w:spacing w:after="0" w:line="203"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18"/>
          <w:szCs w:val="18"/>
          <w:color w:val="auto"/>
        </w:rPr>
        <w:t>Debt issuance costs related to our senior unsecured credit facility are included within prepaid and other assets on the accompanying consolidated balance sheets. These debt issuance costs are amortized ratably over the term of the credit facility, regardless of whether there are any outstanding borrowings, and the amortization is included in interest expense in the accompanying consolidated statements of operations and comprehensive income.</w:t>
      </w:r>
    </w:p>
    <w:p>
      <w:pPr>
        <w:spacing w:after="0" w:line="203" w:lineRule="exact"/>
        <w:rPr>
          <w:sz w:val="20"/>
          <w:szCs w:val="20"/>
          <w:color w:val="auto"/>
        </w:rPr>
      </w:pPr>
    </w:p>
    <w:p>
      <w:pPr>
        <w:jc w:val="both"/>
        <w:ind w:firstLine="400"/>
        <w:spacing w:after="0" w:line="237" w:lineRule="auto"/>
        <w:rPr>
          <w:sz w:val="20"/>
          <w:szCs w:val="20"/>
          <w:color w:val="auto"/>
        </w:rPr>
      </w:pPr>
      <w:r>
        <w:rPr>
          <w:rFonts w:ascii="Times New Roman" w:cs="Times New Roman" w:eastAsia="Times New Roman" w:hAnsi="Times New Roman"/>
          <w:sz w:val="18"/>
          <w:szCs w:val="18"/>
          <w:color w:val="auto"/>
        </w:rPr>
        <w:t>If a refinancing of our debt is considered an extinguishment, unamortized debt issuance costs are included in the gain or loss on extinguishment. All fees paid to or received from creditors are included in the gain or loss on extinguishment. Fees paid to third parties are capitalized as debt issuance costs. If a refinancing of our debt is considered a modification, the net debt issuance costs at the time of modification are amortized over the remaining life of the modified debt.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to/from Hotel Managers</w:t>
      </w:r>
    </w:p>
    <w:p>
      <w:pPr>
        <w:spacing w:after="0" w:line="248" w:lineRule="exact"/>
        <w:rPr>
          <w:sz w:val="20"/>
          <w:szCs w:val="20"/>
          <w:color w:val="auto"/>
        </w:rPr>
      </w:pPr>
    </w:p>
    <w:p>
      <w:pPr>
        <w:jc w:val="both"/>
        <w:ind w:firstLine="200"/>
        <w:spacing w:after="0" w:line="276" w:lineRule="auto"/>
        <w:rPr>
          <w:sz w:val="20"/>
          <w:szCs w:val="20"/>
          <w:color w:val="auto"/>
        </w:rPr>
      </w:pPr>
      <w:r>
        <w:rPr>
          <w:rFonts w:ascii="Times New Roman" w:cs="Times New Roman" w:eastAsia="Times New Roman" w:hAnsi="Times New Roman"/>
          <w:sz w:val="18"/>
          <w:szCs w:val="18"/>
          <w:color w:val="auto"/>
        </w:rPr>
        <w:t>The due from hotel managers consists of hotel-level cash, accounts receivable, periodic hotel operating distributions receivable from managers and prepaid and other assets held by the hotel managers on our behalf. The due to hotel managers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liabilities incurred by the hotel on behalf of us in conjunction with the operation of our hotels which are legal obligations of the Company.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Money</w:t>
      </w:r>
    </w:p>
    <w:p>
      <w:pPr>
        <w:spacing w:after="0" w:line="248" w:lineRule="exact"/>
        <w:rPr>
          <w:sz w:val="20"/>
          <w:szCs w:val="20"/>
          <w:color w:val="auto"/>
        </w:rPr>
      </w:pPr>
    </w:p>
    <w:p>
      <w:pPr>
        <w:jc w:val="both"/>
        <w:ind w:firstLine="200"/>
        <w:spacing w:after="0" w:line="257" w:lineRule="auto"/>
        <w:rPr>
          <w:sz w:val="20"/>
          <w:szCs w:val="20"/>
          <w:color w:val="auto"/>
        </w:rPr>
      </w:pPr>
      <w:r>
        <w:rPr>
          <w:rFonts w:ascii="Times New Roman" w:cs="Times New Roman" w:eastAsia="Times New Roman" w:hAnsi="Times New Roman"/>
          <w:sz w:val="18"/>
          <w:szCs w:val="18"/>
          <w:color w:val="auto"/>
        </w:rPr>
        <w:t>Key money represents consideration received from third parties to incentivize the Company to enter into hotel management or franchise agreements or to complete specific capital projects. Key money is deferred and amortized over the term of the hotel management or franchise agreement, or other systematic and rational period, if appropriate. Key money is classified as deferred income in the accompanying consolidated balance sheets and amortized as a reduction to management fees or franchise fees.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if an arrangement is a lease or contains an embedded lease at inception. For agreements with both lease and</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nonlease components (e.g., common-area maintenance costs), we do not separate the nonlease components from the lease components, but account for these components as one. We determine the lease classification (operating or finance) at lease inception.</w:t>
      </w:r>
    </w:p>
    <w:p>
      <w:pPr>
        <w:spacing w:after="0" w:line="209" w:lineRule="exact"/>
        <w:rPr>
          <w:sz w:val="20"/>
          <w:szCs w:val="20"/>
          <w:color w:val="auto"/>
        </w:rPr>
      </w:pPr>
    </w:p>
    <w:p>
      <w:pPr>
        <w:jc w:val="both"/>
        <w:ind w:firstLine="400"/>
        <w:spacing w:after="0" w:line="270" w:lineRule="auto"/>
        <w:rPr>
          <w:sz w:val="20"/>
          <w:szCs w:val="20"/>
          <w:color w:val="auto"/>
        </w:rPr>
      </w:pPr>
      <w:r>
        <w:rPr>
          <w:rFonts w:ascii="Times New Roman" w:cs="Times New Roman" w:eastAsia="Times New Roman" w:hAnsi="Times New Roman"/>
          <w:sz w:val="17"/>
          <w:szCs w:val="17"/>
          <w:color w:val="auto"/>
        </w:rPr>
        <w:t>Right-of-use assets and lease liabilities are recognized based on the present value of the future lease payments over the lease term at the commencement date. Operating lease assets are included in right-of-use assets and operating lease liabilities are included in lease liabilities within the consolidated balance sheets. Finance lease assets are included in prepaid and other assets and finance lease liabilities are included in accounts payable and accrued expenses within the consolidated balance sheets. The discount rate used to determine the present value of the lease payments is our incremental borrowing rate as of the lease commencement date, as the implicit rate is not readily determinable. The right-of-use assets also include any initial direct costs and any lease payments made at or before the commencement date, and are reduced for any unrestricted incentives received at or before the commencement date.</w:t>
      </w:r>
    </w:p>
    <w:p>
      <w:pPr>
        <w:spacing w:after="0" w:line="20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18"/>
          <w:szCs w:val="18"/>
          <w:color w:val="auto"/>
        </w:rPr>
        <w:t>Options to extend or terminate the lease are included in the recognition of our right-of-use assets and lease liabilities when it is reasonably certain that we will exercise the option. Variable payments that are based on an index or a rate are included in the recognition of our right-of-use assets and lease liabilities using the index or rate at lease commencement; however, changes to these lease payments due to rate or index updates are recorded as rent expense in the period incurred. Contingent rentals based on a percentage of sales in excess of stipulated amounts are not included in the measurement of the lease liability and right-of-use asset but will be recognized as variable lease expense when they are incurred. Leases that contain provisions that increase the fixed minimum lease payments based on previously incurred variable lease payments related to performance will be remeasured, as these payments now represent an increase in the fixed minimum payments for the remainder of the lease term. However, leases with provisions that increase minimum lease payments based on changes in a reference index or rate (e.g. Consumer Price Index) will not be remeasured as such changes do not constitute a resolution of a contingency. If we purchase an underlying asset prior to the termination of the lease term, the right-of-use asset and related lease liability is reversed and the net gain or loss is recorded as part of the acquisition basis. The components of operating lease expense are included in other property-level expenses in our consolidated statements of operations and comprehensive income. Costs related to the finance lease are included in interest expense and other property-level expenses within the consolidated statements of operations and comprehensive income.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w:t>
      </w:r>
    </w:p>
    <w:p>
      <w:pPr>
        <w:spacing w:after="0" w:line="248"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our cash and cash equivalents. We maintain cash and cash equivalents with various financial institutions. We perform periodic evaluations of the relative credit standing of these financial institutions and limit the amount of credit exposure with any one institution.</w:t>
      </w:r>
    </w:p>
    <w:p>
      <w:pPr>
        <w:spacing w:after="0" w:line="204"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We have concentration risk related to one of our hotel properties. As of and for the year ended December 31, 2025, Chicago Marriott represented 11% of total revenues, 12% of total assets, and 9% of income before taxes. As of and for the year ended December 31, 2024, Chicago Marriott represented 11% of total revenues and total assets, and 10% of income before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48"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Each one of our hotels is an operating segment. We evaluate each of our properties on an individual basis to assess performance, the level of capital expenditures, and acquisition or disposition transactions. Our evaluation of individual</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properties is not focused on property type (e.g. urban, suburban, or resort), brand, geographic location, or industry classification. All of our hotel operating segments meet the aggregation criteria established by U.S. GAAP for segment reporting, and as a result, the hotels have been aggregated into a single operating and reportable segment, hotel ownership.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46"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which requires, among other things, entities to disclose additional information with respect to the effective tax rate reconciliation and to disclose the disaggregation by jurisdiction of income tax expense and income taxes paid. ASU 2023-09 is effective for fiscal years beginning after December 15, 2024. We adopted ASU 2023-09 on a retrospective basis during the year ended December 31, 2025. See Note 11 for the additional disclosures related to this adoption.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46" w:lineRule="exact"/>
        <w:rPr>
          <w:sz w:val="20"/>
          <w:szCs w:val="20"/>
          <w:color w:val="auto"/>
        </w:rPr>
      </w:pPr>
    </w:p>
    <w:p>
      <w:pPr>
        <w:jc w:val="both"/>
        <w:ind w:firstLine="40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requiring public entities to disclose additional information about specific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in the notes to the financial statements on an interim and annual basis. ASU 2024-03 is effective for fiscal years beginning after December 15, 2026, and for interim periods beginning after December 15, 2027, with early adoption permitted. We are currently evaluating the impact of adopting ASU 2024-03.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3"/>
        </w:trPr>
        <w:tc>
          <w:tcPr>
            <w:tcW w:w="6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6"/>
        </w:trPr>
        <w:tc>
          <w:tcPr>
            <w:tcW w:w="14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0"/>
        </w:trPr>
        <w:tc>
          <w:tcPr>
            <w:tcW w:w="1460" w:type="dxa"/>
            <w:vAlign w:val="bottom"/>
          </w:tcPr>
          <w:p>
            <w:pPr>
              <w:spacing w:after="0"/>
              <w:rPr>
                <w:sz w:val="19"/>
                <w:szCs w:val="19"/>
                <w:color w:val="auto"/>
              </w:rPr>
            </w:pPr>
          </w:p>
        </w:tc>
        <w:tc>
          <w:tcPr>
            <w:tcW w:w="53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1460" w:type="dxa"/>
            <w:vAlign w:val="bottom"/>
          </w:tcPr>
          <w:p>
            <w:pPr>
              <w:spacing w:after="0"/>
              <w:rPr>
                <w:sz w:val="19"/>
                <w:szCs w:val="19"/>
                <w:color w:val="auto"/>
              </w:rPr>
            </w:pP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570,386</w:t>
            </w:r>
          </w:p>
        </w:tc>
      </w:tr>
      <w:tr>
        <w:trPr>
          <w:trHeight w:val="227"/>
        </w:trPr>
        <w:tc>
          <w:tcPr>
            <w:tcW w:w="146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7"/>
        </w:trPr>
        <w:tc>
          <w:tcPr>
            <w:tcW w:w="1460" w:type="dxa"/>
            <w:vAlign w:val="bottom"/>
          </w:tcPr>
          <w:p>
            <w:pPr>
              <w:spacing w:after="0"/>
              <w:rPr>
                <w:sz w:val="19"/>
                <w:szCs w:val="19"/>
                <w:color w:val="auto"/>
              </w:rPr>
            </w:pP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2,812,461</w:t>
            </w:r>
          </w:p>
        </w:tc>
      </w:tr>
      <w:tr>
        <w:trPr>
          <w:trHeight w:val="227"/>
        </w:trPr>
        <w:tc>
          <w:tcPr>
            <w:tcW w:w="146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200,415</w:t>
            </w:r>
          </w:p>
        </w:tc>
      </w:tr>
      <w:tr>
        <w:trPr>
          <w:trHeight w:val="227"/>
        </w:trPr>
        <w:tc>
          <w:tcPr>
            <w:tcW w:w="1460" w:type="dxa"/>
            <w:vAlign w:val="bottom"/>
          </w:tcPr>
          <w:p>
            <w:pPr>
              <w:spacing w:after="0"/>
              <w:rPr>
                <w:sz w:val="19"/>
                <w:szCs w:val="19"/>
                <w:color w:val="auto"/>
              </w:rPr>
            </w:pP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24,969</w:t>
            </w:r>
          </w:p>
        </w:tc>
      </w:tr>
      <w:tr>
        <w:trPr>
          <w:trHeight w:val="220"/>
        </w:trPr>
        <w:tc>
          <w:tcPr>
            <w:tcW w:w="146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3,610,631</w:t>
            </w:r>
          </w:p>
        </w:tc>
      </w:tr>
      <w:tr>
        <w:trPr>
          <w:trHeight w:val="227"/>
        </w:trPr>
        <w:tc>
          <w:tcPr>
            <w:tcW w:w="1460" w:type="dxa"/>
            <w:vAlign w:val="bottom"/>
          </w:tcPr>
          <w:p>
            <w:pPr>
              <w:spacing w:after="0"/>
              <w:rPr>
                <w:sz w:val="19"/>
                <w:szCs w:val="19"/>
                <w:color w:val="auto"/>
              </w:rPr>
            </w:pP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(979,410)</w:t>
            </w:r>
          </w:p>
        </w:tc>
      </w:tr>
      <w:tr>
        <w:trPr>
          <w:trHeight w:val="220"/>
        </w:trPr>
        <w:tc>
          <w:tcPr>
            <w:tcW w:w="146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2,596,458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2,631,221</w:t>
            </w:r>
          </w:p>
        </w:tc>
      </w:tr>
      <w:tr>
        <w:trPr>
          <w:trHeight w:val="20"/>
        </w:trPr>
        <w:tc>
          <w:tcPr>
            <w:tcW w:w="1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2025 and 2024, we had accrued capital expenditures of $2.5 million and $5.4 million, respectively.</w:t>
      </w:r>
    </w:p>
    <w:p>
      <w:pPr>
        <w:spacing w:after="0" w:line="246"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color w:val="auto"/>
        </w:rPr>
        <w:t>During the year ended December 31, 2024, we evaluated the recoverability of the carrying amount of Westin Washington D.C. City Center as a result of our determination it was more likely than not that the hotel would be sold significantly before the end of its previously estimated useful life. As a result, we recorded an impairment loss of $32.6 million to adjust the hotel's carrying amount to its estimated fair value less costs to sell. See Note 4 for discussion related to the disposition of the hotel.</w:t>
      </w:r>
    </w:p>
    <w:p>
      <w:pPr>
        <w:spacing w:after="0" w:line="206"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During the years ended December 31, 2025, and 2024, we recorded impairment losses of $1.1 million and $1.6 million, respectively, related to the write-off of construction in progress that was determined not to be recoverable.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Hotel Acquisitions and Dispositions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0"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On November 12, 2024, we acquired the 245-room AC Hotel Minneapolis Downtown located in Minneapolis, Minnesota for $30.5 million, including prorations and transaction costs. The acquisition was funded with corporate cash.</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25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On February 19, 2025, we sold the Westin Washington D.C. City Center to an unaffiliated third party for $92.0 million. During the fourth quarter of 2024, we evaluated the recoverability of the carrying amount of the Westin Washington D.C. City Center as a result of our assessment that it was more likely than not that the hotel would be sold significantly before the end of</w:t>
      </w:r>
    </w:p>
    <w:p>
      <w:pPr>
        <w:sectPr>
          <w:pgSz w:w="11900" w:h="16838" w:orient="portrait"/>
          <w:cols w:equalWidth="0" w:num="1">
            <w:col w:w="11240"/>
          </w:cols>
          <w:pgMar w:left="320" w:top="359"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its previously estimated useful life. As a result, we recorded an impairment loss of $32.6 million during the fourth quarter of 2024 to adjust the hotel's carrying amount to its estimated fair value less cost to sell. The fair value was determined based on the contractual sales price pursuant to an executed purchase and sale agreement. As of December 31, 2024, $93.4 million and $3.4 million were classified as assets held for sale and liabilities of assets held for sale, respectively. We received net proceeds of approximately $89.0 million from the transactions after consideration of transaction costs and an adjustment for the hotel's working capital.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Company’s debt (dollars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4"/>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Principal Balance</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159"/>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Loan</w:t>
            </w:r>
          </w:p>
        </w:tc>
        <w:tc>
          <w:tcPr>
            <w:tcW w:w="2000" w:type="dxa"/>
            <w:vAlign w:val="bottom"/>
            <w:gridSpan w:val="2"/>
          </w:tcPr>
          <w:p>
            <w:pPr>
              <w:jc w:val="center"/>
              <w:ind w:right="140"/>
              <w:spacing w:after="0" w:line="159" w:lineRule="exact"/>
              <w:rPr>
                <w:sz w:val="20"/>
                <w:szCs w:val="20"/>
                <w:color w:val="auto"/>
              </w:rPr>
            </w:pPr>
            <w:r>
              <w:rPr>
                <w:rFonts w:ascii="Times New Roman" w:cs="Times New Roman" w:eastAsia="Times New Roman" w:hAnsi="Times New Roman"/>
                <w:sz w:val="18"/>
                <w:szCs w:val="18"/>
                <w:b w:val="1"/>
                <w:bCs w:val="1"/>
                <w:color w:val="auto"/>
                <w:w w:val="98"/>
              </w:rPr>
              <w:t>Interest Rate as of</w:t>
            </w:r>
          </w:p>
        </w:tc>
        <w:tc>
          <w:tcPr>
            <w:tcW w:w="2200" w:type="dxa"/>
            <w:vAlign w:val="bottom"/>
            <w:gridSpan w:val="3"/>
            <w:vMerge w:val="restart"/>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7"/>
              </w:rPr>
              <w:t>Maturity Date</w:t>
            </w:r>
          </w:p>
        </w:tc>
        <w:tc>
          <w:tcPr>
            <w:tcW w:w="1060" w:type="dxa"/>
            <w:vAlign w:val="bottom"/>
            <w:vMerge w:val="restart"/>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restart"/>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0"/>
        </w:trPr>
        <w:tc>
          <w:tcPr>
            <w:tcW w:w="4480" w:type="dxa"/>
            <w:vAlign w:val="bottom"/>
            <w:gridSpan w:val="2"/>
            <w:vMerge w:val="continue"/>
          </w:tcPr>
          <w:p>
            <w:pPr>
              <w:spacing w:after="0"/>
              <w:rPr>
                <w:sz w:val="20"/>
                <w:szCs w:val="20"/>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200" w:type="dxa"/>
            <w:vAlign w:val="bottom"/>
            <w:gridSpan w:val="3"/>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Worthington Renaissance Fort Worth Hotel mortgage loan</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3.66%</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2025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71,766</w:t>
            </w:r>
          </w:p>
        </w:tc>
        <w:tc>
          <w:tcPr>
            <w:tcW w:w="0" w:type="dxa"/>
            <w:vAlign w:val="bottom"/>
          </w:tcPr>
          <w:p>
            <w:pPr>
              <w:spacing w:after="0"/>
              <w:rPr>
                <w:sz w:val="1"/>
                <w:szCs w:val="1"/>
                <w:color w:val="auto"/>
              </w:rPr>
            </w:pPr>
          </w:p>
        </w:tc>
      </w:tr>
      <w:tr>
        <w:trPr>
          <w:trHeight w:val="22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Hotel Clio mortgage loan</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4.33%</w:t>
            </w:r>
          </w:p>
        </w:tc>
        <w:tc>
          <w:tcPr>
            <w:tcW w:w="120" w:type="dxa"/>
            <w:vAlign w:val="bottom"/>
          </w:tcPr>
          <w:p>
            <w:pPr>
              <w:spacing w:after="0"/>
              <w:rPr>
                <w:sz w:val="19"/>
                <w:szCs w:val="19"/>
                <w:color w:val="auto"/>
              </w:rPr>
            </w:pPr>
          </w:p>
        </w:tc>
        <w:tc>
          <w:tcPr>
            <w:tcW w:w="2200" w:type="dxa"/>
            <w:vAlign w:val="bottom"/>
            <w:gridSpan w:val="3"/>
          </w:tcPr>
          <w:p>
            <w:pPr>
              <w:jc w:val="center"/>
              <w:ind w:right="331"/>
              <w:spacing w:after="0"/>
              <w:rPr>
                <w:sz w:val="20"/>
                <w:szCs w:val="20"/>
                <w:color w:val="auto"/>
              </w:rPr>
            </w:pPr>
            <w:r>
              <w:rPr>
                <w:rFonts w:ascii="Times New Roman" w:cs="Times New Roman" w:eastAsia="Times New Roman" w:hAnsi="Times New Roman"/>
                <w:sz w:val="18"/>
                <w:szCs w:val="18"/>
                <w:color w:val="auto"/>
                <w:w w:val="99"/>
              </w:rPr>
              <w:t>July 2025</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54,657</w:t>
            </w:r>
          </w:p>
        </w:tc>
        <w:tc>
          <w:tcPr>
            <w:tcW w:w="0" w:type="dxa"/>
            <w:vAlign w:val="bottom"/>
          </w:tcPr>
          <w:p>
            <w:pPr>
              <w:spacing w:after="0"/>
              <w:rPr>
                <w:sz w:val="1"/>
                <w:szCs w:val="1"/>
                <w:color w:val="auto"/>
              </w:rPr>
            </w:pPr>
          </w:p>
        </w:tc>
      </w:tr>
      <w:tr>
        <w:trPr>
          <w:trHeight w:val="22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Westin Boston Seaport District mortgage loan</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4.36%</w:t>
            </w:r>
          </w:p>
        </w:tc>
        <w:tc>
          <w:tcPr>
            <w:tcW w:w="12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color w:val="auto"/>
                <w:w w:val="99"/>
              </w:rPr>
              <w:t>November 2025</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169,385</w:t>
            </w:r>
          </w:p>
        </w:tc>
        <w:tc>
          <w:tcPr>
            <w:tcW w:w="0" w:type="dxa"/>
            <w:vAlign w:val="bottom"/>
          </w:tcPr>
          <w:p>
            <w:pPr>
              <w:spacing w:after="0"/>
              <w:rPr>
                <w:sz w:val="1"/>
                <w:szCs w:val="1"/>
                <w:color w:val="auto"/>
              </w:rPr>
            </w:pPr>
          </w:p>
        </w:tc>
      </w:tr>
      <w:tr>
        <w:trPr>
          <w:trHeight w:val="22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term loan</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SOFR + 1.35%</w:t>
            </w:r>
          </w:p>
        </w:tc>
        <w:tc>
          <w:tcPr>
            <w:tcW w:w="2200" w:type="dxa"/>
            <w:vAlign w:val="bottom"/>
            <w:gridSpan w:val="3"/>
          </w:tcPr>
          <w:p>
            <w:pPr>
              <w:jc w:val="center"/>
              <w:ind w:right="351"/>
              <w:spacing w:after="0" w:line="226" w:lineRule="exact"/>
              <w:rPr>
                <w:sz w:val="20"/>
                <w:szCs w:val="20"/>
                <w:color w:val="auto"/>
              </w:rPr>
            </w:pPr>
            <w:r>
              <w:rPr>
                <w:rFonts w:ascii="Times New Roman" w:cs="Times New Roman" w:eastAsia="Times New Roman" w:hAnsi="Times New Roman"/>
                <w:sz w:val="18"/>
                <w:szCs w:val="18"/>
                <w:color w:val="auto"/>
                <w:w w:val="94"/>
              </w:rPr>
              <w:t xml:space="preserve">January 2026 </w:t>
            </w:r>
            <w:r>
              <w:rPr>
                <w:rFonts w:ascii="Times New Roman" w:cs="Times New Roman" w:eastAsia="Times New Roman" w:hAnsi="Times New Roman"/>
                <w:sz w:val="23"/>
                <w:szCs w:val="23"/>
                <w:color w:val="auto"/>
                <w:w w:val="94"/>
                <w:vertAlign w:val="superscript"/>
              </w:rPr>
              <w:t>(1)</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2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term loan</w:t>
            </w:r>
          </w:p>
        </w:tc>
        <w:tc>
          <w:tcPr>
            <w:tcW w:w="2000" w:type="dxa"/>
            <w:vAlign w:val="bottom"/>
            <w:gridSpan w:val="2"/>
            <w:shd w:val="clear" w:color="auto" w:fill="CCEEFF"/>
          </w:tcPr>
          <w:p>
            <w:pPr>
              <w:jc w:val="center"/>
              <w:ind w:right="120"/>
              <w:spacing w:after="0" w:line="226" w:lineRule="exact"/>
              <w:rPr>
                <w:sz w:val="20"/>
                <w:szCs w:val="20"/>
                <w:color w:val="auto"/>
              </w:rPr>
            </w:pPr>
            <w:r>
              <w:rPr>
                <w:rFonts w:ascii="Times New Roman" w:cs="Times New Roman" w:eastAsia="Times New Roman" w:hAnsi="Times New Roman"/>
                <w:sz w:val="18"/>
                <w:szCs w:val="18"/>
                <w:color w:val="auto"/>
                <w:w w:val="96"/>
              </w:rPr>
              <w:t xml:space="preserve">SOFR + 1.35% </w:t>
            </w:r>
            <w:r>
              <w:rPr>
                <w:rFonts w:ascii="Times New Roman" w:cs="Times New Roman" w:eastAsia="Times New Roman" w:hAnsi="Times New Roman"/>
                <w:sz w:val="23"/>
                <w:szCs w:val="23"/>
                <w:color w:val="auto"/>
                <w:w w:val="96"/>
                <w:vertAlign w:val="superscript"/>
              </w:rPr>
              <w:t>(2)</w:t>
            </w:r>
          </w:p>
        </w:tc>
        <w:tc>
          <w:tcPr>
            <w:tcW w:w="2200" w:type="dxa"/>
            <w:vAlign w:val="bottom"/>
            <w:gridSpan w:val="3"/>
            <w:shd w:val="clear" w:color="auto" w:fill="CCEEFF"/>
          </w:tcPr>
          <w:p>
            <w:pPr>
              <w:jc w:val="center"/>
              <w:ind w:right="351"/>
              <w:spacing w:after="0" w:line="226" w:lineRule="exact"/>
              <w:rPr>
                <w:sz w:val="20"/>
                <w:szCs w:val="20"/>
                <w:color w:val="auto"/>
              </w:rPr>
            </w:pPr>
            <w:r>
              <w:rPr>
                <w:rFonts w:ascii="Times New Roman" w:cs="Times New Roman" w:eastAsia="Times New Roman" w:hAnsi="Times New Roman"/>
                <w:sz w:val="18"/>
                <w:szCs w:val="18"/>
                <w:color w:val="auto"/>
                <w:w w:val="94"/>
              </w:rPr>
              <w:t xml:space="preserve">January 2028 </w:t>
            </w:r>
            <w:r>
              <w:rPr>
                <w:rFonts w:ascii="Times New Roman" w:cs="Times New Roman" w:eastAsia="Times New Roman" w:hAnsi="Times New Roman"/>
                <w:sz w:val="23"/>
                <w:szCs w:val="23"/>
                <w:color w:val="auto"/>
                <w:w w:val="94"/>
                <w:vertAlign w:val="superscript"/>
              </w:rPr>
              <w:t>(3)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term loan</w:t>
            </w:r>
          </w:p>
        </w:tc>
        <w:tc>
          <w:tcPr>
            <w:tcW w:w="2000" w:type="dxa"/>
            <w:vAlign w:val="bottom"/>
            <w:gridSpan w:val="2"/>
          </w:tcPr>
          <w:p>
            <w:pPr>
              <w:jc w:val="center"/>
              <w:ind w:right="120"/>
              <w:spacing w:after="0" w:line="226" w:lineRule="exact"/>
              <w:rPr>
                <w:sz w:val="20"/>
                <w:szCs w:val="20"/>
                <w:color w:val="auto"/>
              </w:rPr>
            </w:pPr>
            <w:r>
              <w:rPr>
                <w:rFonts w:ascii="Times New Roman" w:cs="Times New Roman" w:eastAsia="Times New Roman" w:hAnsi="Times New Roman"/>
                <w:sz w:val="18"/>
                <w:szCs w:val="18"/>
                <w:color w:val="auto"/>
                <w:w w:val="96"/>
              </w:rPr>
              <w:t xml:space="preserve">SOFR + 1.35% </w:t>
            </w:r>
            <w:r>
              <w:rPr>
                <w:rFonts w:ascii="Times New Roman" w:cs="Times New Roman" w:eastAsia="Times New Roman" w:hAnsi="Times New Roman"/>
                <w:sz w:val="23"/>
                <w:szCs w:val="23"/>
                <w:color w:val="auto"/>
                <w:w w:val="96"/>
                <w:vertAlign w:val="superscript"/>
              </w:rPr>
              <w:t>(4)</w:t>
            </w:r>
          </w:p>
        </w:tc>
        <w:tc>
          <w:tcPr>
            <w:tcW w:w="2200" w:type="dxa"/>
            <w:vAlign w:val="bottom"/>
            <w:gridSpan w:val="3"/>
          </w:tcPr>
          <w:p>
            <w:pPr>
              <w:jc w:val="center"/>
              <w:ind w:right="351"/>
              <w:spacing w:after="0" w:line="226" w:lineRule="exact"/>
              <w:rPr>
                <w:sz w:val="20"/>
                <w:szCs w:val="20"/>
                <w:color w:val="auto"/>
              </w:rPr>
            </w:pPr>
            <w:r>
              <w:rPr>
                <w:rFonts w:ascii="Times New Roman" w:cs="Times New Roman" w:eastAsia="Times New Roman" w:hAnsi="Times New Roman"/>
                <w:sz w:val="18"/>
                <w:szCs w:val="18"/>
                <w:color w:val="auto"/>
                <w:w w:val="94"/>
              </w:rPr>
              <w:t xml:space="preserve">January 2029 </w:t>
            </w:r>
            <w:r>
              <w:rPr>
                <w:rFonts w:ascii="Times New Roman" w:cs="Times New Roman" w:eastAsia="Times New Roman" w:hAnsi="Times New Roman"/>
                <w:sz w:val="23"/>
                <w:szCs w:val="23"/>
                <w:color w:val="auto"/>
                <w:w w:val="94"/>
                <w:vertAlign w:val="superscript"/>
              </w:rPr>
              <w:t>(3)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term loan</w:t>
            </w:r>
          </w:p>
        </w:tc>
        <w:tc>
          <w:tcPr>
            <w:tcW w:w="2000" w:type="dxa"/>
            <w:vAlign w:val="bottom"/>
            <w:gridSpan w:val="2"/>
            <w:shd w:val="clear" w:color="auto" w:fill="CCEEFF"/>
          </w:tcPr>
          <w:p>
            <w:pPr>
              <w:jc w:val="center"/>
              <w:ind w:right="120"/>
              <w:spacing w:after="0" w:line="226" w:lineRule="exact"/>
              <w:rPr>
                <w:sz w:val="20"/>
                <w:szCs w:val="20"/>
                <w:color w:val="auto"/>
              </w:rPr>
            </w:pPr>
            <w:r>
              <w:rPr>
                <w:rFonts w:ascii="Times New Roman" w:cs="Times New Roman" w:eastAsia="Times New Roman" w:hAnsi="Times New Roman"/>
                <w:sz w:val="18"/>
                <w:szCs w:val="18"/>
                <w:color w:val="auto"/>
                <w:w w:val="96"/>
              </w:rPr>
              <w:t xml:space="preserve">SOFR + 1.35% </w:t>
            </w:r>
            <w:r>
              <w:rPr>
                <w:rFonts w:ascii="Times New Roman" w:cs="Times New Roman" w:eastAsia="Times New Roman" w:hAnsi="Times New Roman"/>
                <w:sz w:val="23"/>
                <w:szCs w:val="23"/>
                <w:color w:val="auto"/>
                <w:w w:val="96"/>
                <w:vertAlign w:val="superscript"/>
              </w:rPr>
              <w:t>(4)</w:t>
            </w:r>
          </w:p>
        </w:tc>
        <w:tc>
          <w:tcPr>
            <w:tcW w:w="2200" w:type="dxa"/>
            <w:vAlign w:val="bottom"/>
            <w:gridSpan w:val="3"/>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color w:val="auto"/>
                <w:w w:val="99"/>
              </w:rPr>
              <w:t>January 2030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unsecured credit facility</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SOFR + 1.40%</w:t>
            </w:r>
          </w:p>
        </w:tc>
        <w:tc>
          <w:tcPr>
            <w:tcW w:w="2200" w:type="dxa"/>
            <w:vAlign w:val="bottom"/>
            <w:gridSpan w:val="3"/>
          </w:tcPr>
          <w:p>
            <w:pPr>
              <w:jc w:val="center"/>
              <w:ind w:right="351"/>
              <w:spacing w:after="0" w:line="226" w:lineRule="exact"/>
              <w:rPr>
                <w:sz w:val="20"/>
                <w:szCs w:val="20"/>
                <w:color w:val="auto"/>
              </w:rPr>
            </w:pPr>
            <w:r>
              <w:rPr>
                <w:rFonts w:ascii="Times New Roman" w:cs="Times New Roman" w:eastAsia="Times New Roman" w:hAnsi="Times New Roman"/>
                <w:sz w:val="18"/>
                <w:szCs w:val="18"/>
                <w:color w:val="auto"/>
                <w:w w:val="94"/>
              </w:rPr>
              <w:t xml:space="preserve">January 2030 </w:t>
            </w:r>
            <w:r>
              <w:rPr>
                <w:rFonts w:ascii="Times New Roman" w:cs="Times New Roman" w:eastAsia="Times New Roman" w:hAnsi="Times New Roman"/>
                <w:sz w:val="23"/>
                <w:szCs w:val="23"/>
                <w:color w:val="auto"/>
                <w:w w:val="94"/>
                <w:vertAlign w:val="superscript"/>
              </w:rPr>
              <w:t>(3)</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48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18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1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1,095,808</w:t>
            </w:r>
          </w:p>
        </w:tc>
        <w:tc>
          <w:tcPr>
            <w:tcW w:w="0" w:type="dxa"/>
            <w:vAlign w:val="bottom"/>
          </w:tcPr>
          <w:p>
            <w:pPr>
              <w:spacing w:after="0"/>
              <w:rPr>
                <w:sz w:val="1"/>
                <w:szCs w:val="1"/>
                <w:color w:val="auto"/>
              </w:rPr>
            </w:pPr>
          </w:p>
        </w:tc>
      </w:tr>
      <w:tr>
        <w:trPr>
          <w:trHeight w:val="227"/>
        </w:trPr>
        <w:tc>
          <w:tcPr>
            <w:tcW w:w="4480" w:type="dxa"/>
            <w:vAlign w:val="bottom"/>
            <w:tcBorders>
              <w:bottom w:val="single" w:sz="8" w:color="CCEEFF"/>
            </w:tcBorders>
            <w:gridSpan w:val="2"/>
          </w:tcPr>
          <w:p>
            <w:pPr>
              <w:ind w:left="140"/>
              <w:spacing w:after="0" w:line="226" w:lineRule="exact"/>
              <w:rPr>
                <w:sz w:val="20"/>
                <w:szCs w:val="20"/>
                <w:color w:val="auto"/>
              </w:rPr>
            </w:pPr>
            <w:r>
              <w:rPr>
                <w:rFonts w:ascii="Times New Roman" w:cs="Times New Roman" w:eastAsia="Times New Roman" w:hAnsi="Times New Roman"/>
                <w:sz w:val="18"/>
                <w:szCs w:val="18"/>
                <w:color w:val="auto"/>
              </w:rPr>
              <w:t xml:space="preserve">Unamortized debt issuance costs </w:t>
            </w:r>
            <w:r>
              <w:rPr>
                <w:rFonts w:ascii="Times New Roman" w:cs="Times New Roman" w:eastAsia="Times New Roman" w:hAnsi="Times New Roman"/>
                <w:sz w:val="23"/>
                <w:szCs w:val="23"/>
                <w:color w:val="auto"/>
                <w:vertAlign w:val="superscript"/>
              </w:rPr>
              <w:t>(5)</w:t>
            </w:r>
          </w:p>
        </w:tc>
        <w:tc>
          <w:tcPr>
            <w:tcW w:w="1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45"/>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net of unamortized debt issuance costs</w:t>
            </w:r>
          </w:p>
        </w:tc>
        <w:tc>
          <w:tcPr>
            <w:tcW w:w="1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1,098,850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1,095,294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Weighted-Average Interest Rate </w:t>
            </w:r>
            <w:r>
              <w:rPr>
                <w:rFonts w:ascii="Times New Roman" w:cs="Times New Roman" w:eastAsia="Times New Roman" w:hAnsi="Times New Roman"/>
                <w:sz w:val="23"/>
                <w:szCs w:val="23"/>
                <w:color w:val="auto"/>
                <w:vertAlign w:val="superscript"/>
              </w:rPr>
              <w:t>(6)</w:t>
            </w:r>
          </w:p>
        </w:tc>
        <w:tc>
          <w:tcPr>
            <w:tcW w:w="188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4.98%</w:t>
            </w: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480" w:type="dxa"/>
            <w:vAlign w:val="bottom"/>
            <w:gridSpan w:val="2"/>
            <w:vMerge w:val="continue"/>
          </w:tcPr>
          <w:p>
            <w:pPr>
              <w:spacing w:after="0"/>
              <w:rPr>
                <w:sz w:val="22"/>
                <w:szCs w:val="22"/>
                <w:color w:val="auto"/>
              </w:rPr>
            </w:pPr>
          </w:p>
        </w:tc>
        <w:tc>
          <w:tcPr>
            <w:tcW w:w="18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40" w:hanging="314"/>
        <w:spacing w:after="0" w:line="266" w:lineRule="auto"/>
        <w:tabs>
          <w:tab w:leader="none" w:pos="6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Seventh Amended and Restated Credit Agreement, the existing $300.0 million unsecured term loan maturing in January 2026 was refinanced with two new $300.0 million unsecured term loans.</w:t>
      </w:r>
    </w:p>
    <w:p>
      <w:pPr>
        <w:ind w:left="640" w:hanging="314"/>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as of December 31, 2025 was 4.86%, which includes the effect of interest rate swaps.</w:t>
      </w:r>
    </w:p>
    <w:p>
      <w:pPr>
        <w:spacing w:after="0" w:line="12"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date may be extended for two additional six-month periods upon the payment of applicable fees and the satisfaction of certain customary conditions.</w:t>
      </w:r>
    </w:p>
    <w:p>
      <w:pPr>
        <w:spacing w:after="0" w:line="12"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as of December 31, 2025 was 5.01%.</w:t>
      </w:r>
    </w:p>
    <w:p>
      <w:pPr>
        <w:spacing w:after="0" w:line="3"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debt issuance costs related to our senior unsecured credit facility, which are included within Prepaid and Other Assets on the accompanying consolidated balance sheets.</w:t>
      </w:r>
    </w:p>
    <w:p>
      <w:pPr>
        <w:spacing w:after="0" w:line="7"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interest rate swaps. See Note 6 for additional disclosures on interest rate swaps.</w:t>
      </w:r>
    </w:p>
    <w:p>
      <w:pPr>
        <w:spacing w:after="0" w:line="245"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As of December 31, 2025, the aggregate debt maturities for our mortgage debt and unsecured term loans, assuming all extension options available in our debt agreements are exercised, are as follows (in thousands):</w:t>
      </w:r>
    </w:p>
    <w:p>
      <w:pPr>
        <w:spacing w:after="0" w:line="329" w:lineRule="exact"/>
        <w:rPr>
          <w:sz w:val="20"/>
          <w:szCs w:val="20"/>
          <w:color w:val="auto"/>
        </w:rPr>
      </w:pPr>
    </w:p>
    <w:tbl>
      <w:tblPr>
        <w:tblLayout w:type="fixed"/>
        <w:tblInd w:w="620" w:type="dxa"/>
        <w:tblCellMar>
          <w:top w:w="0" w:type="dxa"/>
          <w:left w:w="0" w:type="dxa"/>
          <w:bottom w:w="0" w:type="dxa"/>
          <w:right w:w="0" w:type="dxa"/>
        </w:tblCellMar>
      </w:tblPr>
      <w:tr>
        <w:trPr>
          <w:trHeight w:val="227"/>
        </w:trPr>
        <w:tc>
          <w:tcPr>
            <w:tcW w:w="8400" w:type="dxa"/>
            <w:vAlign w:val="bottom"/>
            <w:shd w:val="clear" w:color="auto" w:fill="CCEEFF"/>
          </w:tcPr>
          <w:p>
            <w:pPr>
              <w:jc w:val="right"/>
              <w:ind w:right="7931"/>
              <w:spacing w:after="0"/>
              <w:rPr>
                <w:sz w:val="20"/>
                <w:szCs w:val="20"/>
                <w:color w:val="auto"/>
              </w:rPr>
            </w:pPr>
            <w:r>
              <w:rPr>
                <w:rFonts w:ascii="Times New Roman" w:cs="Times New Roman" w:eastAsia="Times New Roman" w:hAnsi="Times New Roman"/>
                <w:sz w:val="18"/>
                <w:szCs w:val="18"/>
                <w:color w:val="auto"/>
                <w:w w:val="99"/>
              </w:rPr>
              <w:t>2026</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400" w:type="dxa"/>
            <w:vAlign w:val="bottom"/>
          </w:tcPr>
          <w:p>
            <w:pPr>
              <w:jc w:val="right"/>
              <w:ind w:right="7931"/>
              <w:spacing w:after="0"/>
              <w:rPr>
                <w:sz w:val="20"/>
                <w:szCs w:val="20"/>
                <w:color w:val="auto"/>
              </w:rPr>
            </w:pPr>
            <w:r>
              <w:rPr>
                <w:rFonts w:ascii="Times New Roman" w:cs="Times New Roman" w:eastAsia="Times New Roman" w:hAnsi="Times New Roman"/>
                <w:sz w:val="18"/>
                <w:szCs w:val="18"/>
                <w:color w:val="auto"/>
                <w:w w:val="99"/>
              </w:rPr>
              <w:t>2027</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400" w:type="dxa"/>
            <w:vAlign w:val="bottom"/>
            <w:shd w:val="clear" w:color="auto" w:fill="CCEEFF"/>
          </w:tcPr>
          <w:p>
            <w:pPr>
              <w:jc w:val="right"/>
              <w:ind w:right="7931"/>
              <w:spacing w:after="0"/>
              <w:rPr>
                <w:sz w:val="20"/>
                <w:szCs w:val="20"/>
                <w:color w:val="auto"/>
              </w:rPr>
            </w:pPr>
            <w:r>
              <w:rPr>
                <w:rFonts w:ascii="Times New Roman" w:cs="Times New Roman" w:eastAsia="Times New Roman" w:hAnsi="Times New Roman"/>
                <w:sz w:val="18"/>
                <w:szCs w:val="18"/>
                <w:color w:val="auto"/>
                <w:w w:val="99"/>
              </w:rPr>
              <w:t>2028</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400" w:type="dxa"/>
            <w:vAlign w:val="bottom"/>
          </w:tcPr>
          <w:p>
            <w:pPr>
              <w:jc w:val="right"/>
              <w:ind w:right="7931"/>
              <w:spacing w:after="0"/>
              <w:rPr>
                <w:sz w:val="20"/>
                <w:szCs w:val="20"/>
                <w:color w:val="auto"/>
              </w:rPr>
            </w:pPr>
            <w:r>
              <w:rPr>
                <w:rFonts w:ascii="Times New Roman" w:cs="Times New Roman" w:eastAsia="Times New Roman" w:hAnsi="Times New Roman"/>
                <w:sz w:val="18"/>
                <w:szCs w:val="18"/>
                <w:color w:val="auto"/>
                <w:w w:val="99"/>
              </w:rPr>
              <w:t>2029</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7"/>
        </w:trPr>
        <w:tc>
          <w:tcPr>
            <w:tcW w:w="8400" w:type="dxa"/>
            <w:vAlign w:val="bottom"/>
            <w:shd w:val="clear" w:color="auto" w:fill="CCEEFF"/>
          </w:tcPr>
          <w:p>
            <w:pPr>
              <w:jc w:val="right"/>
              <w:ind w:right="7931"/>
              <w:spacing w:after="0"/>
              <w:rPr>
                <w:sz w:val="20"/>
                <w:szCs w:val="20"/>
                <w:color w:val="auto"/>
              </w:rPr>
            </w:pPr>
            <w:r>
              <w:rPr>
                <w:rFonts w:ascii="Times New Roman" w:cs="Times New Roman" w:eastAsia="Times New Roman" w:hAnsi="Times New Roman"/>
                <w:sz w:val="18"/>
                <w:szCs w:val="18"/>
                <w:color w:val="auto"/>
                <w:w w:val="99"/>
              </w:rPr>
              <w:t>2030</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0"/>
        </w:trPr>
        <w:tc>
          <w:tcPr>
            <w:tcW w:w="84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1,100,000</w:t>
            </w:r>
          </w:p>
        </w:tc>
      </w:tr>
      <w:tr>
        <w:trPr>
          <w:trHeight w:val="20"/>
        </w:trPr>
        <w:tc>
          <w:tcPr>
            <w:tcW w:w="8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Credit Facility and Unsecured Term Loans</w:t>
      </w:r>
    </w:p>
    <w:p>
      <w:pPr>
        <w:spacing w:after="0" w:line="250"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7"/>
          <w:szCs w:val="17"/>
          <w:color w:val="auto"/>
        </w:rPr>
        <w:t>Prior to July 22, 2025, we were party to a Sixth Amended and Restated Credit Agreement that provided us with a $400.0 million senior unsecured revolving credit facility and two term loan facilities in the aggregate amount of $800.0 million. The revolving credit facility was scheduled to mature on September 27, 2026, which we could extend for an additional year upon the payment of applicable fees and satisfaction of certain standard conditions. The term loan facilities consisted of a $500.0 million term loan maturing on January 3, 2028 and a $300.0 million term loan maturing January 3, 2026. We had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right to increase the aggregate amount of the facilities to $1.4 billion upon the satisfaction of certain standard conditions. On July 2, 2025, we drew $60.0 million on our senior unsecured revolving credit facility, which was subsequently repaid.</w:t>
      </w:r>
    </w:p>
    <w:p>
      <w:pPr>
        <w:spacing w:after="0" w:line="190" w:lineRule="exact"/>
        <w:rPr>
          <w:sz w:val="20"/>
          <w:szCs w:val="20"/>
          <w:color w:val="auto"/>
        </w:rPr>
      </w:pPr>
    </w:p>
    <w:p>
      <w:pPr>
        <w:jc w:val="both"/>
        <w:ind w:firstLine="440"/>
        <w:spacing w:after="0" w:line="250" w:lineRule="auto"/>
        <w:rPr>
          <w:sz w:val="20"/>
          <w:szCs w:val="20"/>
          <w:color w:val="auto"/>
        </w:rPr>
      </w:pPr>
      <w:r>
        <w:rPr>
          <w:rFonts w:ascii="Times New Roman" w:cs="Times New Roman" w:eastAsia="Times New Roman" w:hAnsi="Times New Roman"/>
          <w:sz w:val="18"/>
          <w:szCs w:val="18"/>
          <w:color w:val="auto"/>
        </w:rPr>
        <w:t>On July 22, 2025, we entered into the Seventh Amended and Restated Credit Agreement (the “Amended Credit Facility”). The Amended Credit Facility increased the size of the Company’s existing credit facility from $1.2 billion to $1.5 billion and extended its maturity schedule. The Amended Credit Facility provides for a $400.0 million revolving credit facility (the “Revolving Credit Facility”) and three term loan facilities in the aggregate amount of $1.1 billion. The Revolving Credit Facility matures on January 22, 2030. The term loan facilities consist of a $500.0 million term loan that matures on January 3, 2028 (the “Term 1 Loan”), a $300.0 million term loan that matures January 22, 2030 (the “Term 2 Loan”) and a $300.0 million term loan that matures on January 22, 2029 (the “Term 3 Loan”). The maturity date of the Revolving Credit Facility, Term 1 Loan and Term 3 Loan may be extended for two additional six-month periods upon the payment of applicable fees and satisfaction of certain standard conditions. The Company also has the right to increase the aggregate capacity of the Amended Credit Facility to $1.8 billion upon the satisfaction of certain standard conditions. The incremental proceeds from the upsizing of the Amended Credit Facility were utilized to fund the three mortgage loan maturities in 2025. As of December 31, 2025, we had $400.0 million of borrowing capacity under the Revolving Credit Facility.</w:t>
      </w:r>
    </w:p>
    <w:p>
      <w:pPr>
        <w:spacing w:after="0" w:line="216"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Amended Credit Facility, we incurred $11.1 million of debt issuance costs, of which $1.1 million was recognized as a reduction to the outstanding debt balance in our consolidated balance sheet and $4.4 million was recognized within Prepaid and Other Assets in our consolidated balance sheet. These debt issuance costs will be amortized to interest expense through the respective maturity dates of the related instruments. The remaining $5.6 million of debt issuance costs and $0.2 million of unamortized debt issuance costs were recognized as a loss on debt extinguishment in our consolidated statement of operations and comprehensive income for the year ended December 31, 2025.</w:t>
      </w:r>
    </w:p>
    <w:p>
      <w:pPr>
        <w:spacing w:after="0" w:line="21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interest was paid on the periodic advances on the Revolving Credit Facility and amounts outstanding on the term loans at varying rates, based upon the adjusted Secured Overnight Financing Rate (“SOFR”), as defined in the Amended Credit Facility, plus an applicable margin. The applicable margin is based upon our leverage ratio,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Leverage Ratio</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Applicable Margin for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 for</w:t>
            </w:r>
          </w:p>
        </w:tc>
        <w:tc>
          <w:tcPr>
            <w:tcW w:w="0" w:type="dxa"/>
            <w:vAlign w:val="bottom"/>
          </w:tcPr>
          <w:p>
            <w:pPr>
              <w:spacing w:after="0"/>
              <w:rPr>
                <w:sz w:val="1"/>
                <w:szCs w:val="1"/>
                <w:color w:val="auto"/>
              </w:rPr>
            </w:pPr>
          </w:p>
        </w:tc>
      </w:tr>
      <w:tr>
        <w:trPr>
          <w:trHeight w:val="240"/>
        </w:trPr>
        <w:tc>
          <w:tcPr>
            <w:tcW w:w="6840" w:type="dxa"/>
            <w:vAlign w:val="bottom"/>
            <w:gridSpan w:val="2"/>
            <w:vMerge w:val="continue"/>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Revolving Loans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Loans</w:t>
            </w:r>
          </w:p>
        </w:tc>
        <w:tc>
          <w:tcPr>
            <w:tcW w:w="0" w:type="dxa"/>
            <w:vAlign w:val="bottom"/>
          </w:tcPr>
          <w:p>
            <w:pPr>
              <w:spacing w:after="0"/>
              <w:rPr>
                <w:sz w:val="1"/>
                <w:szCs w:val="1"/>
                <w:color w:val="auto"/>
              </w:rPr>
            </w:pPr>
          </w:p>
        </w:tc>
      </w:tr>
      <w:tr>
        <w:trPr>
          <w:trHeight w:val="220"/>
        </w:trPr>
        <w:tc>
          <w:tcPr>
            <w:tcW w:w="6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30%</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1.35%</w:t>
            </w:r>
          </w:p>
        </w:tc>
        <w:tc>
          <w:tcPr>
            <w:tcW w:w="0" w:type="dxa"/>
            <w:vAlign w:val="bottom"/>
          </w:tcPr>
          <w:p>
            <w:pPr>
              <w:spacing w:after="0"/>
              <w:rPr>
                <w:sz w:val="1"/>
                <w:szCs w:val="1"/>
                <w:color w:val="auto"/>
              </w:rPr>
            </w:pPr>
          </w:p>
        </w:tc>
      </w:tr>
      <w:tr>
        <w:trPr>
          <w:trHeight w:val="227"/>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or equal to 30% but less than 35%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1.45%</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1.40%</w:t>
            </w:r>
          </w:p>
        </w:tc>
        <w:tc>
          <w:tcPr>
            <w:tcW w:w="0" w:type="dxa"/>
            <w:vAlign w:val="bottom"/>
          </w:tcPr>
          <w:p>
            <w:pPr>
              <w:spacing w:after="0"/>
              <w:rPr>
                <w:sz w:val="1"/>
                <w:szCs w:val="1"/>
                <w:color w:val="auto"/>
              </w:rPr>
            </w:pPr>
          </w:p>
        </w:tc>
      </w:tr>
      <w:tr>
        <w:trPr>
          <w:trHeight w:val="227"/>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or equal to 35% but less than 40%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1.45%</w:t>
            </w:r>
          </w:p>
        </w:tc>
        <w:tc>
          <w:tcPr>
            <w:tcW w:w="0" w:type="dxa"/>
            <w:vAlign w:val="bottom"/>
          </w:tcPr>
          <w:p>
            <w:pPr>
              <w:spacing w:after="0"/>
              <w:rPr>
                <w:sz w:val="1"/>
                <w:szCs w:val="1"/>
                <w:color w:val="auto"/>
              </w:rPr>
            </w:pPr>
          </w:p>
        </w:tc>
      </w:tr>
      <w:tr>
        <w:trPr>
          <w:trHeight w:val="227"/>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or equal to 40% but less than 45%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1.60%</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c>
          <w:tcPr>
            <w:tcW w:w="0" w:type="dxa"/>
            <w:vAlign w:val="bottom"/>
          </w:tcPr>
          <w:p>
            <w:pPr>
              <w:spacing w:after="0"/>
              <w:rPr>
                <w:sz w:val="1"/>
                <w:szCs w:val="1"/>
                <w:color w:val="auto"/>
              </w:rPr>
            </w:pPr>
          </w:p>
        </w:tc>
      </w:tr>
      <w:tr>
        <w:trPr>
          <w:trHeight w:val="227"/>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or equal to 45% but less than 50%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0" w:type="dxa"/>
            <w:vAlign w:val="bottom"/>
          </w:tcPr>
          <w:p>
            <w:pPr>
              <w:spacing w:after="0"/>
              <w:rPr>
                <w:sz w:val="1"/>
                <w:szCs w:val="1"/>
                <w:color w:val="auto"/>
              </w:rPr>
            </w:pPr>
          </w:p>
        </w:tc>
      </w:tr>
      <w:tr>
        <w:trPr>
          <w:trHeight w:val="227"/>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or equal to 50% but less than 55%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1.95%</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1.85%</w:t>
            </w:r>
          </w:p>
        </w:tc>
        <w:tc>
          <w:tcPr>
            <w:tcW w:w="0" w:type="dxa"/>
            <w:vAlign w:val="bottom"/>
          </w:tcPr>
          <w:p>
            <w:pPr>
              <w:spacing w:after="0"/>
              <w:rPr>
                <w:sz w:val="1"/>
                <w:szCs w:val="1"/>
                <w:color w:val="auto"/>
              </w:rPr>
            </w:pPr>
          </w:p>
        </w:tc>
      </w:tr>
      <w:tr>
        <w:trPr>
          <w:trHeight w:val="227"/>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or equal to 55%</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2.20%</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Amended Credit Facility contains various financial covenants. A summary of the most significant covenants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at</w:t>
            </w:r>
          </w:p>
        </w:tc>
      </w:tr>
      <w:tr>
        <w:trPr>
          <w:trHeight w:val="234"/>
        </w:trPr>
        <w:tc>
          <w:tcPr>
            <w:tcW w:w="662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Covenant</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220"/>
        </w:trPr>
        <w:tc>
          <w:tcPr>
            <w:tcW w:w="6620" w:type="dxa"/>
            <w:vAlign w:val="bottom"/>
            <w:tcBorders>
              <w:top w:val="single" w:sz="8" w:color="CCEEFF"/>
            </w:tcBorders>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color w:val="auto"/>
              </w:rPr>
              <w:t xml:space="preserve">Maximum leverage ratio </w:t>
            </w:r>
            <w:r>
              <w:rPr>
                <w:rFonts w:ascii="Times New Roman" w:cs="Times New Roman" w:eastAsia="Times New Roman" w:hAnsi="Times New Roman"/>
                <w:sz w:val="23"/>
                <w:szCs w:val="23"/>
                <w:color w:val="auto"/>
                <w:vertAlign w:val="superscript"/>
              </w:rPr>
              <w:t>(1)</w:t>
            </w: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27.6%</w:t>
            </w:r>
          </w:p>
        </w:tc>
      </w:tr>
      <w:tr>
        <w:trPr>
          <w:trHeight w:val="227"/>
        </w:trPr>
        <w:tc>
          <w:tcPr>
            <w:tcW w:w="662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Minimum fixed charge coverage ratio </w:t>
            </w:r>
            <w:r>
              <w:rPr>
                <w:rFonts w:ascii="Times New Roman" w:cs="Times New Roman" w:eastAsia="Times New Roman" w:hAnsi="Times New Roman"/>
                <w:sz w:val="23"/>
                <w:szCs w:val="23"/>
                <w:color w:val="auto"/>
                <w:vertAlign w:val="superscript"/>
              </w:rPr>
              <w:t>(2)</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1.50x</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3.38</w:t>
            </w:r>
          </w:p>
        </w:tc>
      </w:tr>
      <w:tr>
        <w:trPr>
          <w:trHeight w:val="173"/>
        </w:trPr>
        <w:tc>
          <w:tcPr>
            <w:tcW w:w="662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center"/>
              <w:ind w:right="100"/>
              <w:spacing w:after="0" w:line="173" w:lineRule="exact"/>
              <w:rPr>
                <w:sz w:val="20"/>
                <w:szCs w:val="20"/>
                <w:color w:val="auto"/>
              </w:rPr>
            </w:pPr>
            <w:r>
              <w:rPr>
                <w:rFonts w:ascii="Times New Roman" w:cs="Times New Roman" w:eastAsia="Times New Roman" w:hAnsi="Times New Roman"/>
                <w:sz w:val="18"/>
                <w:szCs w:val="18"/>
                <w:color w:val="auto"/>
                <w:w w:val="98"/>
              </w:rPr>
              <w:t>Less than 45% of Total</w:t>
            </w:r>
          </w:p>
        </w:tc>
        <w:tc>
          <w:tcPr>
            <w:tcW w:w="2040" w:type="dxa"/>
            <w:vAlign w:val="bottom"/>
            <w:shd w:val="clear" w:color="auto" w:fill="CCEEFF"/>
          </w:tcPr>
          <w:p>
            <w:pPr>
              <w:spacing w:after="0"/>
              <w:rPr>
                <w:sz w:val="15"/>
                <w:szCs w:val="15"/>
                <w:color w:val="auto"/>
              </w:rPr>
            </w:pPr>
          </w:p>
        </w:tc>
      </w:tr>
      <w:tr>
        <w:trPr>
          <w:trHeight w:val="24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recourse indebtedness</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Asset Value</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Unencumbered leverage ratio</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31.9%</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Unencumbered implied debt service coverage ratio</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1.20x</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2.35x</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42" w:lineRule="exact"/>
        <w:rPr>
          <w:sz w:val="20"/>
          <w:szCs w:val="20"/>
          <w:color w:val="auto"/>
        </w:rPr>
      </w:pPr>
    </w:p>
    <w:p>
      <w:pPr>
        <w:ind w:left="640" w:hanging="314"/>
        <w:spacing w:after="0" w:line="266" w:lineRule="auto"/>
        <w:tabs>
          <w:tab w:leader="none" w:pos="6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Leverage ratio is net indebtedness, as defined in the Amended Credit Facility, divided by total asset value, defined in the Amended Credit Facility as the value of our owned hotels based on hotel net operating income divided by a defined capitalization rate.</w:t>
      </w:r>
    </w:p>
    <w:p>
      <w:pPr>
        <w:jc w:val="both"/>
        <w:ind w:left="640" w:hanging="314"/>
        <w:spacing w:after="0" w:line="257" w:lineRule="auto"/>
        <w:tabs>
          <w:tab w:leader="none" w:pos="6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charge coverage ratio is Adjusted EBITDA, generally defined in the Amended Credit Facility as EBITDA less FF&amp;E reserves, for the most recent trailing 12 month period, to fixed charges, which is defined in the Amended Credit Facility as interest expense, all regularly scheduled principal payments and payments on capitalized lease obligations, for the same 12 month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Debt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We previously incurred limited recourse, property specific mortgage debt secured by certain of our hotels. On August 6, 2024, we repaid the Courtyard New York Manhattan/Midtown East mortgage loan using cash on hand. On May 6, 2025, we repaid the Worthington Renaissance Fort Worth Hotel mortgage loan using cash on hand. On July 2, 2025, we drew $60.0 million on our revolving credit facility, the proceeds from which were used to repay the Hotel Clio mortgage loan on its maturity date of July 3, 2025. The $60.0 million draw was repaid on July 22, 2025. On September 5, 2025, we repaid the Westin Boston Seaport District mortgage loan using proceeds from the Amended Credit Facility. Following this repayment, the Company's portfolio is fully unencumbered by secured debt.</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the Company's interest expense consisted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360" w:type="dxa"/>
            <w:vAlign w:val="bottom"/>
            <w:tcBorders>
              <w:bottom w:val="single" w:sz="8" w:color="auto"/>
            </w:tcBorders>
          </w:tcPr>
          <w:p>
            <w:pPr>
              <w:spacing w:after="0"/>
              <w:rPr>
                <w:sz w:val="20"/>
                <w:szCs w:val="20"/>
                <w:color w:val="auto"/>
              </w:rPr>
            </w:pPr>
          </w:p>
        </w:tc>
      </w:tr>
      <w:tr>
        <w:trPr>
          <w:trHeight w:val="220"/>
        </w:trPr>
        <w:tc>
          <w:tcPr>
            <w:tcW w:w="58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term loan interest</w:t>
            </w:r>
          </w:p>
        </w:tc>
        <w:tc>
          <w:tcPr>
            <w:tcW w:w="110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43,294</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debt interest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16,436</w:t>
            </w:r>
          </w:p>
        </w:tc>
      </w:tr>
      <w:tr>
        <w:trPr>
          <w:trHeight w:val="22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interest and unused fees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2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mark-to-market</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27"/>
        </w:trPr>
        <w:tc>
          <w:tcPr>
            <w:tcW w:w="580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Finance lease expense</w:t>
            </w:r>
            <w:r>
              <w:rPr>
                <w:rFonts w:ascii="Times New Roman" w:cs="Times New Roman" w:eastAsia="Times New Roman" w:hAnsi="Times New Roman"/>
                <w:sz w:val="23"/>
                <w:szCs w:val="23"/>
                <w:color w:val="auto"/>
                <w:vertAlign w:val="superscript"/>
              </w:rPr>
              <w:t>(1)</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52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8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65,072</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42" w:lineRule="exact"/>
        <w:rPr>
          <w:sz w:val="20"/>
          <w:szCs w:val="20"/>
          <w:color w:val="auto"/>
        </w:rPr>
      </w:pPr>
    </w:p>
    <w:p>
      <w:pPr>
        <w:ind w:left="640" w:hanging="314"/>
        <w:spacing w:after="0"/>
        <w:tabs>
          <w:tab w:leader="none" w:pos="64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2024, we extended the term on one of our ground leases, and, as a result, the lease classification changed from an operating lease to a finance lease.</w:t>
      </w:r>
    </w:p>
    <w:p>
      <w:pPr>
        <w:spacing w:after="0" w:line="307" w:lineRule="exact"/>
        <w:rPr>
          <w:rFonts w:ascii="Times New Roman" w:cs="Times New Roman" w:eastAsia="Times New Roman" w:hAnsi="Times New Roman"/>
          <w:sz w:val="14"/>
          <w:szCs w:val="14"/>
          <w:color w:val="auto"/>
        </w:rPr>
      </w:pPr>
    </w:p>
    <w:p>
      <w:pPr>
        <w:ind w:left="180" w:hanging="173"/>
        <w:spacing w:after="0"/>
        <w:tabs>
          <w:tab w:leader="none" w:pos="1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2025 and 2024, the Company had the following derivatives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Fair Value of Assets (Liabilities)</w:t>
            </w:r>
          </w:p>
        </w:tc>
        <w:tc>
          <w:tcPr>
            <w:tcW w:w="0" w:type="dxa"/>
            <w:vAlign w:val="bottom"/>
          </w:tcPr>
          <w:p>
            <w:pPr>
              <w:spacing w:after="0"/>
              <w:rPr>
                <w:sz w:val="1"/>
                <w:szCs w:val="1"/>
                <w:color w:val="auto"/>
              </w:rPr>
            </w:pPr>
          </w:p>
        </w:tc>
      </w:tr>
      <w:tr>
        <w:trPr>
          <w:trHeight w:val="25"/>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1020" w:type="dxa"/>
            <w:vAlign w:val="bottom"/>
          </w:tcPr>
          <w:p>
            <w:pPr>
              <w:jc w:val="right"/>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1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9"/>
        </w:trPr>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term loans</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3.36 %</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1, 2023</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1, 2028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0" w:type="dxa"/>
            <w:vAlign w:val="bottom"/>
          </w:tcPr>
          <w:p>
            <w:pPr>
              <w:spacing w:after="0"/>
              <w:rPr>
                <w:sz w:val="1"/>
                <w:szCs w:val="1"/>
                <w:color w:val="auto"/>
              </w:rPr>
            </w:pPr>
          </w:p>
        </w:tc>
      </w:tr>
      <w:tr>
        <w:trPr>
          <w:trHeight w:val="192"/>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Unsecured term loans</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8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1, 2023</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1, 2027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208"/>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term loans</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October 1, 2024</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1, 2028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192"/>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Unsecured term loans</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8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1, 2024</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1, 2028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208"/>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term loans</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2, 2025</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1, 2027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92"/>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Unsecured term loans</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8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2, 2025</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1,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208"/>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term loans</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3.29 %</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2, 2026</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1, 2029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Unsecured term loans</w:t>
            </w:r>
          </w:p>
        </w:tc>
        <w:tc>
          <w:tcPr>
            <w:tcW w:w="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1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January 4, 2027</w:t>
            </w:r>
          </w:p>
        </w:tc>
        <w:tc>
          <w:tcPr>
            <w:tcW w:w="1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January 1, 2029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4,674</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440"/>
        <w:spacing w:after="0" w:line="244" w:lineRule="auto"/>
        <w:rPr>
          <w:sz w:val="20"/>
          <w:szCs w:val="20"/>
          <w:color w:val="auto"/>
        </w:rPr>
      </w:pPr>
      <w:r>
        <w:rPr>
          <w:rFonts w:ascii="Times New Roman" w:cs="Times New Roman" w:eastAsia="Times New Roman" w:hAnsi="Times New Roman"/>
          <w:sz w:val="18"/>
          <w:szCs w:val="18"/>
          <w:color w:val="auto"/>
        </w:rPr>
        <w:t>Interest rate swaps designated as cash flow hedges involve the receipt of variable-rate amounts from a counterparty in exchange for the Company making fixed-rate payments over the life of the agreements without exchange of the underlying notional amount. During 2025, such derivatives were used to hedge the variable cash flows associated with variable-rate debt.</w:t>
      </w:r>
    </w:p>
    <w:p>
      <w:pPr>
        <w:spacing w:after="0" w:line="1"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The table below details the location in the consolidated financial statements of the gains and losses recognized on derivative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0"/>
        </w:trPr>
        <w:tc>
          <w:tcPr>
            <w:tcW w:w="1340" w:type="dxa"/>
            <w:vAlign w:val="bottom"/>
            <w:tcBorders>
              <w:top w:val="single" w:sz="8" w:color="0000FF"/>
            </w:tcBorders>
          </w:tcPr>
          <w:p>
            <w:pPr>
              <w:spacing w:after="0"/>
              <w:rPr>
                <w:sz w:val="24"/>
                <w:szCs w:val="24"/>
                <w:color w:val="auto"/>
              </w:rPr>
            </w:pPr>
          </w:p>
        </w:tc>
        <w:tc>
          <w:tcPr>
            <w:tcW w:w="2440" w:type="dxa"/>
            <w:vAlign w:val="bottom"/>
          </w:tcPr>
          <w:p>
            <w:pPr>
              <w:spacing w:after="0"/>
              <w:rPr>
                <w:sz w:val="24"/>
                <w:szCs w:val="24"/>
                <w:color w:val="auto"/>
              </w:rPr>
            </w:pPr>
          </w:p>
        </w:tc>
        <w:tc>
          <w:tcPr>
            <w:tcW w:w="3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Location in Statements of Operations and</w:t>
            </w: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Effect of derivative instruments</w:t>
            </w:r>
          </w:p>
        </w:tc>
        <w:tc>
          <w:tcPr>
            <w:tcW w:w="38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0"/>
        </w:trPr>
        <w:tc>
          <w:tcPr>
            <w:tcW w:w="3780" w:type="dxa"/>
            <w:vAlign w:val="bottom"/>
            <w:tcBorders>
              <w:bottom w:val="single" w:sz="8" w:color="auto"/>
            </w:tcBorders>
            <w:gridSpan w:val="2"/>
            <w:vMerge w:val="continue"/>
          </w:tcPr>
          <w:p>
            <w:pPr>
              <w:spacing w:after="0"/>
              <w:rPr>
                <w:sz w:val="20"/>
                <w:szCs w:val="20"/>
                <w:color w:val="auto"/>
              </w:rPr>
            </w:pPr>
          </w:p>
        </w:tc>
        <w:tc>
          <w:tcPr>
            <w:tcW w:w="3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78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Gain (loss) recognized in other comprehensive</w:t>
            </w:r>
          </w:p>
        </w:tc>
        <w:tc>
          <w:tcPr>
            <w:tcW w:w="3860" w:type="dxa"/>
            <w:vAlign w:val="bottom"/>
            <w:shd w:val="clear" w:color="auto" w:fill="CCEEFF"/>
          </w:tcPr>
          <w:p>
            <w:pPr>
              <w:ind w:left="60"/>
              <w:spacing w:after="0" w:line="167" w:lineRule="exact"/>
              <w:rPr>
                <w:sz w:val="20"/>
                <w:szCs w:val="20"/>
                <w:color w:val="auto"/>
              </w:rPr>
            </w:pPr>
            <w:r>
              <w:rPr>
                <w:rFonts w:ascii="Times New Roman" w:cs="Times New Roman" w:eastAsia="Times New Roman" w:hAnsi="Times New Roman"/>
                <w:sz w:val="18"/>
                <w:szCs w:val="18"/>
                <w:color w:val="auto"/>
              </w:rPr>
              <w:t>Unrealized gain (loss) on interest rate derivative</w:t>
            </w:r>
          </w:p>
        </w:tc>
        <w:tc>
          <w:tcPr>
            <w:tcW w:w="26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33"/>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38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instruments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2"/>
            <w:vMerge w:val="restart"/>
          </w:tcPr>
          <w:p>
            <w:pPr>
              <w:ind w:left="20"/>
              <w:spacing w:after="0" w:line="160" w:lineRule="exact"/>
              <w:rPr>
                <w:sz w:val="20"/>
                <w:szCs w:val="20"/>
                <w:color w:val="auto"/>
              </w:rPr>
            </w:pPr>
            <w:r>
              <w:rPr>
                <w:rFonts w:ascii="Times New Roman" w:cs="Times New Roman" w:eastAsia="Times New Roman" w:hAnsi="Times New Roman"/>
                <w:sz w:val="18"/>
                <w:szCs w:val="18"/>
                <w:color w:val="auto"/>
              </w:rPr>
              <w:t>Interest income for derivatives that were designated</w:t>
            </w:r>
          </w:p>
        </w:tc>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780" w:type="dxa"/>
            <w:vAlign w:val="bottom"/>
            <w:gridSpan w:val="2"/>
            <w:vMerge w:val="continue"/>
          </w:tcPr>
          <w:p>
            <w:pPr>
              <w:spacing w:after="0"/>
              <w:rPr>
                <w:sz w:val="10"/>
                <w:szCs w:val="10"/>
                <w:color w:val="auto"/>
              </w:rPr>
            </w:pPr>
          </w:p>
        </w:tc>
        <w:tc>
          <w:tcPr>
            <w:tcW w:w="3860" w:type="dxa"/>
            <w:vAlign w:val="bottom"/>
          </w:tcPr>
          <w:p>
            <w:pPr>
              <w:spacing w:after="0"/>
              <w:rPr>
                <w:sz w:val="10"/>
                <w:szCs w:val="10"/>
                <w:color w:val="auto"/>
              </w:rPr>
            </w:pP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10"/>
                <w:szCs w:val="10"/>
                <w:color w:val="auto"/>
              </w:rPr>
            </w:pP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80" w:type="dxa"/>
            <w:vAlign w:val="bottom"/>
          </w:tcPr>
          <w:p>
            <w:pPr>
              <w:spacing w:after="0"/>
              <w:rPr>
                <w:sz w:val="10"/>
                <w:szCs w:val="10"/>
                <w:color w:val="auto"/>
              </w:rPr>
            </w:pPr>
          </w:p>
        </w:tc>
        <w:tc>
          <w:tcPr>
            <w:tcW w:w="36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21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cash flow hedges</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8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Interest income (expense) for derivatives that were</w:t>
            </w:r>
          </w:p>
        </w:tc>
        <w:tc>
          <w:tcPr>
            <w:tcW w:w="38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 designated as cash flow hedges</w:t>
            </w:r>
          </w:p>
        </w:tc>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During the next twelve months, the Company estimates that $0.2 million will be reclassified from other comprehensive income as an increase to interest expense.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 of certain financial assets and liabilities and other financial instruments is as follows (in thousands):</w:t>
      </w:r>
    </w:p>
    <w:p>
      <w:pPr>
        <w:spacing w:after="0" w:line="124"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7"/>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00"/>
              <w:spacing w:after="0" w:line="167"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14"/>
                <w:szCs w:val="14"/>
                <w:color w:val="auto"/>
              </w:rPr>
            </w:pPr>
          </w:p>
        </w:tc>
        <w:tc>
          <w:tcPr>
            <w:tcW w:w="1220" w:type="dxa"/>
            <w:vAlign w:val="bottom"/>
            <w:gridSpan w:val="2"/>
          </w:tcPr>
          <w:p>
            <w:pPr>
              <w:ind w:left="100"/>
              <w:spacing w:after="0" w:line="167"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4"/>
                <w:szCs w:val="14"/>
                <w:color w:val="auto"/>
              </w:rPr>
            </w:pPr>
          </w:p>
        </w:tc>
        <w:tc>
          <w:tcPr>
            <w:tcW w:w="9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0"/>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12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Amount </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Amount </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1,092,44</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8" w:lineRule="exact"/>
        <w:rPr>
          <w:sz w:val="20"/>
          <w:szCs w:val="20"/>
          <w:color w:val="auto"/>
        </w:rPr>
      </w:pPr>
    </w:p>
    <w:p>
      <w:pPr>
        <w:ind w:left="640" w:hanging="314"/>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amount of debt is net of unamortized debt issuance costs.</w:t>
      </w:r>
    </w:p>
    <w:p>
      <w:pPr>
        <w:spacing w:after="0" w:line="227" w:lineRule="exact"/>
        <w:rPr>
          <w:sz w:val="20"/>
          <w:szCs w:val="20"/>
          <w:color w:val="auto"/>
        </w:rPr>
      </w:pPr>
    </w:p>
    <w:p>
      <w:pPr>
        <w:jc w:val="both"/>
        <w:ind w:right="100" w:firstLine="440"/>
        <w:spacing w:after="0" w:line="239" w:lineRule="auto"/>
        <w:rPr>
          <w:sz w:val="20"/>
          <w:szCs w:val="20"/>
          <w:color w:val="auto"/>
        </w:rPr>
      </w:pPr>
      <w:r>
        <w:rPr>
          <w:rFonts w:ascii="Times New Roman" w:cs="Times New Roman" w:eastAsia="Times New Roman" w:hAnsi="Times New Roman"/>
          <w:sz w:val="18"/>
          <w:szCs w:val="18"/>
          <w:color w:val="auto"/>
        </w:rPr>
        <w:t>The fair value of our interest rate swaps are Level 2 measurements under the fair value hierarchy. We estimate the fair value of the interest rate swap based on the interest rate yield curve and implied market volatility as inputs and adjusted for the counterparty's credit risk. We concluded that the inputs for the credit risk valuation adjustment are Level 3 inputs; however, these inputs are not significant to the fair value measurement in its entirety.</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fair values of our other financial instruments not included in the table above are estimated to be equal to their carrying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48" w:lineRule="exact"/>
        <w:rPr>
          <w:sz w:val="20"/>
          <w:szCs w:val="20"/>
          <w:color w:val="auto"/>
        </w:rPr>
      </w:pPr>
    </w:p>
    <w:p>
      <w:pPr>
        <w:jc w:val="both"/>
        <w:ind w:right="100" w:firstLine="400"/>
        <w:spacing w:after="0" w:line="257" w:lineRule="auto"/>
        <w:rPr>
          <w:sz w:val="20"/>
          <w:szCs w:val="20"/>
          <w:color w:val="auto"/>
        </w:rPr>
      </w:pPr>
      <w:r>
        <w:rPr>
          <w:rFonts w:ascii="Times New Roman" w:cs="Times New Roman" w:eastAsia="Times New Roman" w:hAnsi="Times New Roman"/>
          <w:sz w:val="18"/>
          <w:szCs w:val="18"/>
          <w:color w:val="auto"/>
        </w:rPr>
        <w:t>Seven of our hotel ground leases and one parking lot area are classified as operating leases, for which we have recorded right-of-use assets and lease liabilities. The lease liabilities for our operating leases assume the exercise of all available extension options, as we believe they are reasonably certain to be exercised. The components of operating lease expense are included in other property-level expenses in our consolidated statements of operations and comprehensive income.</w:t>
      </w:r>
    </w:p>
    <w:p>
      <w:pPr>
        <w:spacing w:after="0" w:line="206" w:lineRule="exact"/>
        <w:rPr>
          <w:sz w:val="20"/>
          <w:szCs w:val="20"/>
          <w:color w:val="auto"/>
        </w:rPr>
      </w:pPr>
    </w:p>
    <w:p>
      <w:pPr>
        <w:jc w:val="both"/>
        <w:ind w:right="100" w:firstLine="400"/>
        <w:spacing w:after="0" w:line="257" w:lineRule="auto"/>
        <w:rPr>
          <w:sz w:val="20"/>
          <w:szCs w:val="20"/>
          <w:color w:val="auto"/>
        </w:rPr>
      </w:pPr>
      <w:r>
        <w:rPr>
          <w:rFonts w:ascii="Times New Roman" w:cs="Times New Roman" w:eastAsia="Times New Roman" w:hAnsi="Times New Roman"/>
          <w:sz w:val="18"/>
          <w:szCs w:val="18"/>
          <w:color w:val="auto"/>
        </w:rPr>
        <w:t>In October 2024, we extended the ground lease for the Courtyard New York Manhattan/Fifth Avenue, adding an additional 36-year renewal option. As a result of the updated terms, the lease is now classified as a finance lease, and we remeasured the right-of-use asset and lease liability based on the revised lease term. Costs related to the finance lease are included in interest expense and other property-level expenses within the consolidated statements of operations and comprehensive income.</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the lease-related assets and liabilities in our consolidated balance sheet as of December 31, 2025 and 2024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346"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940"/>
        </w:trPr>
        <w:tc>
          <w:tcPr>
            <w:tcW w:w="1340" w:type="dxa"/>
            <w:vAlign w:val="bottom"/>
            <w:tcBorders>
              <w:top w:val="single" w:sz="8" w:color="0000FF"/>
            </w:tcBorders>
          </w:tcPr>
          <w:p>
            <w:pPr>
              <w:spacing w:after="0"/>
              <w:rPr>
                <w:sz w:val="24"/>
                <w:szCs w:val="24"/>
                <w:color w:val="auto"/>
              </w:rPr>
            </w:pPr>
          </w:p>
        </w:tc>
        <w:tc>
          <w:tcPr>
            <w:tcW w:w="2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9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3"/>
        </w:trPr>
        <w:tc>
          <w:tcPr>
            <w:tcW w:w="1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Location in Consolidated Balance Sheets</w:t>
            </w:r>
          </w:p>
        </w:tc>
        <w:tc>
          <w:tcPr>
            <w:tcW w:w="480" w:type="dxa"/>
            <w:vAlign w:val="bottom"/>
          </w:tcPr>
          <w:p>
            <w:pPr>
              <w:spacing w:after="0"/>
              <w:rPr>
                <w:sz w:val="20"/>
                <w:szCs w:val="20"/>
                <w:color w:val="auto"/>
              </w:rPr>
            </w:pPr>
          </w:p>
        </w:tc>
        <w:tc>
          <w:tcPr>
            <w:tcW w:w="1540" w:type="dxa"/>
            <w:vAlign w:val="bottom"/>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27"/>
        </w:trPr>
        <w:tc>
          <w:tcPr>
            <w:tcW w:w="3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89,041</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89,931</w:t>
            </w:r>
          </w:p>
        </w:tc>
      </w:tr>
      <w:tr>
        <w:trPr>
          <w:trHeight w:val="227"/>
        </w:trPr>
        <w:tc>
          <w:tcPr>
            <w:tcW w:w="3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assets, net</w:t>
            </w: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w:t>
            </w:r>
          </w:p>
        </w:tc>
      </w:tr>
      <w:tr>
        <w:trPr>
          <w:trHeight w:val="220"/>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97,136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98,110</w:t>
            </w: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0"/>
        </w:trPr>
        <w:tc>
          <w:tcPr>
            <w:tcW w:w="13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3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87,053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85,235</w:t>
            </w:r>
          </w:p>
        </w:tc>
      </w:tr>
      <w:tr>
        <w:trPr>
          <w:trHeight w:val="227"/>
        </w:trPr>
        <w:tc>
          <w:tcPr>
            <w:tcW w:w="3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32,384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31,632</w:t>
            </w:r>
          </w:p>
        </w:tc>
      </w:tr>
      <w:tr>
        <w:trPr>
          <w:trHeight w:val="245"/>
        </w:trPr>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119,437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116,867</w:t>
            </w:r>
          </w:p>
        </w:tc>
      </w:tr>
      <w:tr>
        <w:trPr>
          <w:trHeight w:val="20"/>
        </w:trPr>
        <w:tc>
          <w:tcPr>
            <w:tcW w:w="3640" w:type="dxa"/>
            <w:vAlign w:val="bottom"/>
            <w:tcBorders>
              <w:top w:val="single" w:sz="8" w:color="CCEEFF"/>
            </w:tcBorders>
            <w:gridSpan w:val="2"/>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13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7"/>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7"/>
        </w:trPr>
        <w:tc>
          <w:tcPr>
            <w:tcW w:w="3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62 years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3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96 years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3"/>
        </w:trPr>
        <w:tc>
          <w:tcPr>
            <w:tcW w:w="3640" w:type="dxa"/>
            <w:vAlign w:val="bottom"/>
            <w:gridSpan w:val="2"/>
          </w:tcPr>
          <w:p>
            <w:pPr>
              <w:spacing w:after="0"/>
              <w:rPr>
                <w:sz w:val="22"/>
                <w:szCs w:val="22"/>
                <w:color w:val="auto"/>
              </w:rPr>
            </w:pPr>
          </w:p>
        </w:tc>
        <w:tc>
          <w:tcPr>
            <w:tcW w:w="3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7"/>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7"/>
        </w:trPr>
        <w:tc>
          <w:tcPr>
            <w:tcW w:w="3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3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following table sets forth the lease costs related to the operating and finance leases included in the consolidated statements of operations and comprehensive income for the year ended December 31, 2025, 2024, and 2023 (in thousands):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Location in Statements of Operations and</w:t>
            </w: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33"/>
        </w:trPr>
        <w:tc>
          <w:tcPr>
            <w:tcW w:w="326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property-level expenses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r>
      <w:tr>
        <w:trPr>
          <w:trHeight w:val="22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property-level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3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supplemental cash flow information related to the operating and finance leases (in thousands):</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0"/>
        </w:trPr>
        <w:tc>
          <w:tcPr>
            <w:tcW w:w="7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5"/>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22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Variable lease payments</w:t>
            </w:r>
          </w:p>
        </w:tc>
        <w:tc>
          <w:tcPr>
            <w:tcW w:w="440" w:type="dxa"/>
            <w:vAlign w:val="bottom"/>
            <w:tcBorders>
              <w:bottom w:val="single" w:sz="8" w:color="auto"/>
            </w:tcBorders>
          </w:tcPr>
          <w:p>
            <w:pPr>
              <w:jc w:val="right"/>
              <w:ind w:right="25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1,972</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5"/>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finance lease liabilities</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included in the consolidated balance sheets are as follows (in thousands):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4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73"/>
        </w:trPr>
        <w:tc>
          <w:tcPr>
            <w:tcW w:w="82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00" w:type="dxa"/>
            <w:vAlign w:val="bottom"/>
          </w:tcPr>
          <w:p>
            <w:pPr>
              <w:spacing w:after="0"/>
              <w:rPr>
                <w:sz w:val="24"/>
                <w:szCs w:val="24"/>
                <w:color w:val="auto"/>
              </w:rPr>
            </w:pPr>
          </w:p>
        </w:tc>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60" w:type="dxa"/>
            <w:vAlign w:val="bottom"/>
          </w:tcPr>
          <w:p>
            <w:pPr>
              <w:spacing w:after="0"/>
              <w:rPr>
                <w:sz w:val="24"/>
                <w:szCs w:val="24"/>
                <w:color w:val="auto"/>
              </w:rPr>
            </w:pPr>
          </w:p>
        </w:tc>
        <w:tc>
          <w:tcPr>
            <w:tcW w:w="2280" w:type="dxa"/>
            <w:vAlign w:val="bottom"/>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Finance Lease</w:t>
            </w:r>
          </w:p>
        </w:tc>
      </w:tr>
      <w:tr>
        <w:trPr>
          <w:trHeight w:val="220"/>
        </w:trPr>
        <w:tc>
          <w:tcPr>
            <w:tcW w:w="820" w:type="dxa"/>
            <w:vAlign w:val="bottom"/>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5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27"/>
        </w:trPr>
        <w:tc>
          <w:tcPr>
            <w:tcW w:w="8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27"/>
        </w:trPr>
        <w:tc>
          <w:tcPr>
            <w:tcW w:w="820" w:type="dxa"/>
            <w:vAlign w:val="bottom"/>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7"/>
        </w:trPr>
        <w:tc>
          <w:tcPr>
            <w:tcW w:w="8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7"/>
        </w:trPr>
        <w:tc>
          <w:tcPr>
            <w:tcW w:w="820" w:type="dxa"/>
            <w:vAlign w:val="bottom"/>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7"/>
        </w:trPr>
        <w:tc>
          <w:tcPr>
            <w:tcW w:w="820" w:type="dxa"/>
            <w:vAlign w:val="bottom"/>
          </w:tcPr>
          <w:p>
            <w:pPr>
              <w:spacing w:after="0"/>
              <w:rPr>
                <w:sz w:val="19"/>
                <w:szCs w:val="19"/>
                <w:color w:val="auto"/>
              </w:rPr>
            </w:pPr>
          </w:p>
        </w:tc>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589,601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402,963</w:t>
            </w:r>
          </w:p>
        </w:tc>
      </w:tr>
      <w:tr>
        <w:trPr>
          <w:trHeight w:val="220"/>
        </w:trPr>
        <w:tc>
          <w:tcPr>
            <w:tcW w:w="820" w:type="dxa"/>
            <w:vAlign w:val="bottom"/>
          </w:tcPr>
          <w:p>
            <w:pPr>
              <w:spacing w:after="0"/>
              <w:rPr>
                <w:sz w:val="19"/>
                <w:szCs w:val="19"/>
                <w:color w:val="auto"/>
              </w:rPr>
            </w:pP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409,548</w:t>
            </w:r>
          </w:p>
        </w:tc>
      </w:tr>
      <w:tr>
        <w:trPr>
          <w:trHeight w:val="227"/>
        </w:trPr>
        <w:tc>
          <w:tcPr>
            <w:tcW w:w="820" w:type="dxa"/>
            <w:vAlign w:val="bottom"/>
          </w:tcPr>
          <w:p>
            <w:pPr>
              <w:spacing w:after="0"/>
              <w:rPr>
                <w:sz w:val="19"/>
                <w:szCs w:val="19"/>
                <w:color w:val="auto"/>
              </w:rPr>
            </w:pPr>
          </w:p>
        </w:tc>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(377,164)</w:t>
            </w:r>
          </w:p>
        </w:tc>
      </w:tr>
      <w:tr>
        <w:trPr>
          <w:trHeight w:val="245"/>
        </w:trPr>
        <w:tc>
          <w:tcPr>
            <w:tcW w:w="820" w:type="dxa"/>
            <w:vAlign w:val="bottom"/>
          </w:tcPr>
          <w:p>
            <w:pPr>
              <w:spacing w:after="0"/>
              <w:rPr>
                <w:sz w:val="20"/>
                <w:szCs w:val="20"/>
                <w:color w:val="auto"/>
              </w:rPr>
            </w:pPr>
          </w:p>
        </w:tc>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32,384</w:t>
            </w:r>
          </w:p>
        </w:tc>
      </w:tr>
      <w:tr>
        <w:trPr>
          <w:trHeight w:val="20"/>
        </w:trPr>
        <w:tc>
          <w:tcPr>
            <w:tcW w:w="82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Six of our hotels are subject to ground lease agreements that cover all of the land underlying the respective hotel as of December 31, 2025:</w:t>
      </w:r>
    </w:p>
    <w:p>
      <w:pPr>
        <w:spacing w:after="0" w:line="246" w:lineRule="exact"/>
        <w:rPr>
          <w:sz w:val="20"/>
          <w:szCs w:val="20"/>
          <w:color w:val="auto"/>
        </w:rPr>
      </w:pPr>
    </w:p>
    <w:p>
      <w:pPr>
        <w:ind w:left="640" w:hanging="154"/>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Embassy Suites by Hilton Bethesda is subject to a ground lease that runs until 2087. There are no renewal options.</w:t>
      </w:r>
    </w:p>
    <w:p>
      <w:pPr>
        <w:spacing w:after="0" w:line="246" w:lineRule="exact"/>
        <w:rPr>
          <w:rFonts w:ascii="Times New Roman" w:cs="Times New Roman" w:eastAsia="Times New Roman" w:hAnsi="Times New Roman"/>
          <w:sz w:val="18"/>
          <w:szCs w:val="18"/>
          <w:color w:val="auto"/>
        </w:rPr>
      </w:pPr>
    </w:p>
    <w:p>
      <w:pPr>
        <w:jc w:val="both"/>
        <w:ind w:left="640" w:hanging="154"/>
        <w:spacing w:after="0" w:line="257"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Courtyard New York Manhattan/Fifth Avenue is subject to a ground lease that runs until 2121, inclusive of two renewal options for 49 and 36 years, respectively. Our ability to exercise the second renewal option is contingent on the Company spending no less than $7.0 million on capital improvements by the end of 2026 (the “Capital Improvement Plan”). If we satisfy the Capital Improvement Plan contingency and exercise all renewal options, the ground lease would expire in October 2121.</w:t>
      </w:r>
    </w:p>
    <w:p>
      <w:pPr>
        <w:spacing w:after="0" w:line="206" w:lineRule="exact"/>
        <w:rPr>
          <w:rFonts w:ascii="Times New Roman" w:cs="Times New Roman" w:eastAsia="Times New Roman" w:hAnsi="Times New Roman"/>
          <w:sz w:val="18"/>
          <w:szCs w:val="18"/>
          <w:color w:val="auto"/>
        </w:rPr>
      </w:pPr>
    </w:p>
    <w:p>
      <w:pPr>
        <w:jc w:val="both"/>
        <w:ind w:left="640" w:hanging="154"/>
        <w:spacing w:after="0" w:line="261"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Salt Lake City Marriott is subject to two ground leases: one ground lease covers the land under the hotel and the other ground lease covers the portion of the hotel that extends into the adjacent City Creek Center. The term of the ground lease covering the land under the hotel runs through 2106. The term of the ground lease covering the extension into the City Creek Center runs through 2056.</w:t>
      </w:r>
    </w:p>
    <w:p>
      <w:pPr>
        <w:spacing w:after="0" w:line="204"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Westin Boston Seaport District is subject to a ground lease that runs until 2099. There are no renewal options.</w:t>
      </w:r>
    </w:p>
    <w:p>
      <w:pPr>
        <w:spacing w:after="0" w:line="246"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Hotel Palomar Phoenix is subject to a ground lease that runs until 2085, inclusive of three renewal options of five years each.</w:t>
      </w:r>
    </w:p>
    <w:p>
      <w:pPr>
        <w:spacing w:after="0" w:line="246"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Cavallo Point is subject to a ground lease with the United States National Park Service that runs until 2066. There are no renewal options.</w:t>
      </w:r>
    </w:p>
    <w:p>
      <w:pPr>
        <w:spacing w:after="0" w:line="246"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A portion of the Hotel Clio is subject to a ground lease that covers approximately 5,500 square feet. The term of the ground lease runs through December 2030, inclusive of two 5-year renewal options. The lease may be indefinitely extended thereafter in one-year increments. The remainder of the land on which the hotel is constructed is owned by us in fee simple.</w:t>
      </w:r>
    </w:p>
    <w:p>
      <w:pPr>
        <w:spacing w:after="0" w:line="204"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We lease the buildings and sublease the underlying land containing 28 of the 158 rooms at L'Auberge de Sedona, which expires in 2070, including all extension options. The remainder of the land underlying the hotel is owned by us in fee simple.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sublease a parking area near the Bourbon Orleans Hotel. The sublease runs through July 2069. There are no renewal options.</w:t>
      </w:r>
    </w:p>
    <w:p>
      <w:pPr>
        <w:spacing w:after="0" w:line="246"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These ground leases generally require us to make rental payments (including a percentage of gross receipts as percentage rent with respect to the Courtyard New York Manhattan/Fifth Avenue, Westin Boston Seaport District, Salt Lake City Marriott, and Cavallo Point ground leases). Most of our ground leases require us to make payments for all charges, costs, expenses, assessments and liabilities, including real property taxes and utilities. Furthermore, these ground leases generally require us to obtain and maintain insurance covering the subject property.</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reflects the current and future annual rents under our ground leases: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tbl>
      <w:tblPr>
        <w:tblLayout w:type="fixed"/>
        <w:tblInd w:w="1280" w:type="dxa"/>
        <w:tblCellMar>
          <w:top w:w="0" w:type="dxa"/>
          <w:left w:w="0" w:type="dxa"/>
          <w:bottom w:w="0" w:type="dxa"/>
          <w:right w:w="0" w:type="dxa"/>
        </w:tblCellMar>
      </w:tblPr>
      <w:tr>
        <w:trPr>
          <w:trHeight w:val="214"/>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 xml:space="preserve">Term </w:t>
            </w:r>
            <w:r>
              <w:rPr>
                <w:rFonts w:ascii="Times New Roman" w:cs="Times New Roman" w:eastAsia="Times New Roman" w:hAnsi="Times New Roman"/>
                <w:sz w:val="18"/>
                <w:szCs w:val="18"/>
                <w:b w:val="1"/>
                <w:bCs w:val="1"/>
                <w:color w:val="auto"/>
                <w:w w:val="94"/>
                <w:vertAlign w:val="superscript"/>
              </w:rPr>
              <w:t>(1)</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Rent</w:t>
            </w:r>
          </w:p>
        </w:tc>
        <w:tc>
          <w:tcPr>
            <w:tcW w:w="0" w:type="dxa"/>
            <w:vAlign w:val="bottom"/>
          </w:tcPr>
          <w:p>
            <w:pPr>
              <w:spacing w:after="0"/>
              <w:rPr>
                <w:sz w:val="1"/>
                <w:szCs w:val="1"/>
                <w:color w:val="auto"/>
              </w:rPr>
            </w:pPr>
          </w:p>
        </w:tc>
      </w:tr>
      <w:tr>
        <w:trPr>
          <w:trHeight w:val="19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Embassy Suites by Hilton Bethesda</w:t>
            </w:r>
          </w:p>
        </w:tc>
        <w:tc>
          <w:tcPr>
            <w:tcW w:w="14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Through 4/2087</w:t>
            </w:r>
          </w:p>
        </w:tc>
        <w:tc>
          <w:tcPr>
            <w:tcW w:w="14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4"/>
                <w:szCs w:val="14"/>
                <w:color w:val="auto"/>
                <w:w w:val="96"/>
              </w:rPr>
              <w:t xml:space="preserve">$1,136,635 </w:t>
            </w:r>
            <w:r>
              <w:rPr>
                <w:rFonts w:ascii="Times New Roman" w:cs="Times New Roman" w:eastAsia="Times New Roman" w:hAnsi="Times New Roman"/>
                <w:sz w:val="18"/>
                <w:szCs w:val="18"/>
                <w:color w:val="auto"/>
                <w:w w:val="96"/>
                <w:vertAlign w:val="superscript"/>
              </w:rPr>
              <w:t>(2)</w:t>
            </w:r>
          </w:p>
        </w:tc>
        <w:tc>
          <w:tcPr>
            <w:tcW w:w="0" w:type="dxa"/>
            <w:vAlign w:val="bottom"/>
          </w:tcPr>
          <w:p>
            <w:pPr>
              <w:spacing w:after="0"/>
              <w:rPr>
                <w:sz w:val="1"/>
                <w:szCs w:val="1"/>
                <w:color w:val="auto"/>
              </w:rPr>
            </w:pPr>
          </w:p>
        </w:tc>
      </w:tr>
      <w:tr>
        <w:trPr>
          <w:trHeight w:val="213"/>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Courtyard New York Manhattan/Fifth Avenue </w:t>
            </w:r>
            <w:r>
              <w:rPr>
                <w:rFonts w:ascii="Times New Roman" w:cs="Times New Roman" w:eastAsia="Times New Roman" w:hAnsi="Times New Roman"/>
                <w:sz w:val="18"/>
                <w:szCs w:val="18"/>
                <w:color w:val="auto"/>
                <w:vertAlign w:val="superscript"/>
              </w:rPr>
              <w:t>(3)</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10/2017 - 9/2027</w:t>
            </w:r>
          </w:p>
        </w:tc>
        <w:tc>
          <w:tcPr>
            <w:tcW w:w="1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$1,132,812</w:t>
            </w:r>
          </w:p>
        </w:tc>
        <w:tc>
          <w:tcPr>
            <w:tcW w:w="0" w:type="dxa"/>
            <w:vAlign w:val="bottom"/>
          </w:tcPr>
          <w:p>
            <w:pPr>
              <w:spacing w:after="0"/>
              <w:rPr>
                <w:sz w:val="1"/>
                <w:szCs w:val="1"/>
                <w:color w:val="auto"/>
              </w:rPr>
            </w:pPr>
          </w:p>
        </w:tc>
      </w:tr>
      <w:tr>
        <w:trPr>
          <w:trHeight w:val="193"/>
        </w:trPr>
        <w:tc>
          <w:tcPr>
            <w:tcW w:w="4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10/2027 - 9/2037</w:t>
            </w:r>
          </w:p>
        </w:tc>
        <w:tc>
          <w:tcPr>
            <w:tcW w:w="1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$1,416,015</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10/2037 - 9/2047</w:t>
            </w: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$1,770,019</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10/2047 - 9/2057</w:t>
            </w:r>
          </w:p>
        </w:tc>
        <w:tc>
          <w:tcPr>
            <w:tcW w:w="1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$2,212,524</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10/2057 - 9/2067</w:t>
            </w: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$2,765,655</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10/2067 - 9/2077</w:t>
            </w:r>
          </w:p>
        </w:tc>
        <w:tc>
          <w:tcPr>
            <w:tcW w:w="1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$3,457,069</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10/2077 - 9/2087</w:t>
            </w: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$4,321,336</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10/2087 - 9/2097</w:t>
            </w:r>
          </w:p>
        </w:tc>
        <w:tc>
          <w:tcPr>
            <w:tcW w:w="1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$5,401,670</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10/2097 - 9/2107</w:t>
            </w: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$6,752,088</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10/2107 - 9/2117</w:t>
            </w:r>
          </w:p>
        </w:tc>
        <w:tc>
          <w:tcPr>
            <w:tcW w:w="1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$8,440,110</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10/2117 - 9/2121</w:t>
            </w: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$10,550,138</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Salt Lake City Marriott (Ground lease for hotel)</w:t>
            </w:r>
          </w:p>
        </w:tc>
        <w:tc>
          <w:tcPr>
            <w:tcW w:w="164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Through 12/2106</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Greater of $132,000 or 2.6% of annual gross</w:t>
            </w:r>
          </w:p>
        </w:tc>
        <w:tc>
          <w:tcPr>
            <w:tcW w:w="0" w:type="dxa"/>
            <w:vAlign w:val="bottom"/>
          </w:tcPr>
          <w:p>
            <w:pPr>
              <w:spacing w:after="0"/>
              <w:rPr>
                <w:sz w:val="1"/>
                <w:szCs w:val="1"/>
                <w:color w:val="auto"/>
              </w:rPr>
            </w:pPr>
          </w:p>
        </w:tc>
      </w:tr>
      <w:tr>
        <w:trPr>
          <w:trHeight w:val="200"/>
        </w:trPr>
        <w:tc>
          <w:tcPr>
            <w:tcW w:w="4220" w:type="dxa"/>
            <w:vAlign w:val="bottom"/>
            <w:gridSpan w:val="2"/>
            <w:vMerge w:val="continue"/>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room sales</w:t>
            </w:r>
          </w:p>
        </w:tc>
        <w:tc>
          <w:tcPr>
            <w:tcW w:w="0" w:type="dxa"/>
            <w:vAlign w:val="bottom"/>
          </w:tcPr>
          <w:p>
            <w:pPr>
              <w:spacing w:after="0"/>
              <w:rPr>
                <w:sz w:val="1"/>
                <w:szCs w:val="1"/>
                <w:color w:val="auto"/>
              </w:rPr>
            </w:pPr>
          </w:p>
        </w:tc>
      </w:tr>
      <w:tr>
        <w:trPr>
          <w:trHeight w:val="213"/>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Salt Lake City Marriott (Ground lease for extension)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1/2018 - 12/2056</w:t>
            </w:r>
          </w:p>
        </w:tc>
        <w:tc>
          <w:tcPr>
            <w:tcW w:w="1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 xml:space="preserve">$15,552 </w:t>
            </w:r>
            <w:r>
              <w:rPr>
                <w:rFonts w:ascii="Times New Roman" w:cs="Times New Roman" w:eastAsia="Times New Roman" w:hAnsi="Times New Roman"/>
                <w:sz w:val="18"/>
                <w:szCs w:val="18"/>
                <w:color w:val="auto"/>
                <w:w w:val="98"/>
                <w:vertAlign w:val="superscript"/>
              </w:rPr>
              <w:t>(4)</w:t>
            </w:r>
          </w:p>
        </w:tc>
        <w:tc>
          <w:tcPr>
            <w:tcW w:w="0" w:type="dxa"/>
            <w:vAlign w:val="bottom"/>
          </w:tcPr>
          <w:p>
            <w:pPr>
              <w:spacing w:after="0"/>
              <w:rPr>
                <w:sz w:val="1"/>
                <w:szCs w:val="1"/>
                <w:color w:val="auto"/>
              </w:rPr>
            </w:pPr>
          </w:p>
        </w:tc>
      </w:tr>
      <w:tr>
        <w:trPr>
          <w:trHeight w:val="213"/>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Westin Boston Seaport District </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xml:space="preserve"> (Base rent)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1/2021 - 12/2025</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1/2026 - 12/2030</w:t>
            </w: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$1,500,000</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1/2031 - 12/2035</w:t>
            </w:r>
          </w:p>
        </w:tc>
        <w:tc>
          <w:tcPr>
            <w:tcW w:w="1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$1,750,000</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1/2036 - 5/2099</w:t>
            </w: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 base rent</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Westin Boston Seaport District</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xml:space="preserve"> (Percentage rent)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6/2016 - 5/2026</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 of annual gross revenue</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6/2026 - 5/2036</w:t>
            </w: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 of annual gross revenue</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6/2036 - 5/2046</w:t>
            </w:r>
          </w:p>
        </w:tc>
        <w:tc>
          <w:tcPr>
            <w:tcW w:w="1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2.75% of annual gross revenue</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6/2046 - 5/2056</w:t>
            </w: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 of annual gross revenue</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6/2056 - 5/2066</w:t>
            </w:r>
          </w:p>
        </w:tc>
        <w:tc>
          <w:tcPr>
            <w:tcW w:w="1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 of annual gross revenue</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6/2066 - 5/2099</w:t>
            </w: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 of annual gross revenue</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 Clio</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1/2021 - 12/2025</w:t>
            </w:r>
          </w:p>
        </w:tc>
        <w:tc>
          <w:tcPr>
            <w:tcW w:w="1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$55,000</w:t>
            </w:r>
          </w:p>
        </w:tc>
        <w:tc>
          <w:tcPr>
            <w:tcW w:w="0" w:type="dxa"/>
            <w:vAlign w:val="bottom"/>
          </w:tcPr>
          <w:p>
            <w:pPr>
              <w:spacing w:after="0"/>
              <w:rPr>
                <w:sz w:val="1"/>
                <w:szCs w:val="1"/>
                <w:color w:val="auto"/>
              </w:rPr>
            </w:pPr>
          </w:p>
        </w:tc>
      </w:tr>
      <w:tr>
        <w:trPr>
          <w:trHeight w:val="213"/>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 xml:space="preserve">1/2026 - 12/2030 </w:t>
            </w:r>
            <w:r>
              <w:rPr>
                <w:rFonts w:ascii="Times New Roman" w:cs="Times New Roman" w:eastAsia="Times New Roman" w:hAnsi="Times New Roman"/>
                <w:sz w:val="18"/>
                <w:szCs w:val="18"/>
                <w:color w:val="auto"/>
                <w:w w:val="98"/>
                <w:vertAlign w:val="superscript"/>
              </w:rPr>
              <w:t>(6)</w:t>
            </w:r>
          </w:p>
        </w:tc>
        <w:tc>
          <w:tcPr>
            <w:tcW w:w="1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$60,000</w:t>
            </w:r>
          </w:p>
        </w:tc>
        <w:tc>
          <w:tcPr>
            <w:tcW w:w="0" w:type="dxa"/>
            <w:vAlign w:val="bottom"/>
          </w:tcPr>
          <w:p>
            <w:pPr>
              <w:spacing w:after="0"/>
              <w:rPr>
                <w:sz w:val="1"/>
                <w:szCs w:val="1"/>
                <w:color w:val="auto"/>
              </w:rPr>
            </w:pPr>
          </w:p>
        </w:tc>
      </w:tr>
      <w:tr>
        <w:trPr>
          <w:trHeight w:val="213"/>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L'Auberge de Sedona</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7/2018 - 12/2070</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$155,144 </w:t>
            </w:r>
            <w:r>
              <w:rPr>
                <w:rFonts w:ascii="Times New Roman" w:cs="Times New Roman" w:eastAsia="Times New Roman" w:hAnsi="Times New Roman"/>
                <w:sz w:val="18"/>
                <w:szCs w:val="18"/>
                <w:color w:val="auto"/>
                <w:w w:val="94"/>
                <w:vertAlign w:val="superscript"/>
              </w:rPr>
              <w:t>(7)</w:t>
            </w:r>
          </w:p>
        </w:tc>
        <w:tc>
          <w:tcPr>
            <w:tcW w:w="0" w:type="dxa"/>
            <w:vAlign w:val="bottom"/>
          </w:tcPr>
          <w:p>
            <w:pPr>
              <w:spacing w:after="0"/>
              <w:rPr>
                <w:sz w:val="1"/>
                <w:szCs w:val="1"/>
                <w:color w:val="auto"/>
              </w:rPr>
            </w:pPr>
          </w:p>
        </w:tc>
      </w:tr>
      <w:tr>
        <w:trPr>
          <w:trHeight w:val="213"/>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 Palomar Phoenix (Base Rent)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4/2022 - 3/2085</w:t>
            </w:r>
          </w:p>
        </w:tc>
        <w:tc>
          <w:tcPr>
            <w:tcW w:w="1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 xml:space="preserve">$37,952 </w:t>
            </w:r>
            <w:r>
              <w:rPr>
                <w:rFonts w:ascii="Times New Roman" w:cs="Times New Roman" w:eastAsia="Times New Roman" w:hAnsi="Times New Roman"/>
                <w:sz w:val="18"/>
                <w:szCs w:val="18"/>
                <w:color w:val="auto"/>
                <w:w w:val="98"/>
                <w:vertAlign w:val="superscript"/>
              </w:rPr>
              <w:t>(8)</w:t>
            </w:r>
          </w:p>
        </w:tc>
        <w:tc>
          <w:tcPr>
            <w:tcW w:w="0" w:type="dxa"/>
            <w:vAlign w:val="bottom"/>
          </w:tcPr>
          <w:p>
            <w:pPr>
              <w:spacing w:after="0"/>
              <w:rPr>
                <w:sz w:val="1"/>
                <w:szCs w:val="1"/>
                <w:color w:val="auto"/>
              </w:rPr>
            </w:pPr>
          </w:p>
        </w:tc>
      </w:tr>
      <w:tr>
        <w:trPr>
          <w:trHeight w:val="213"/>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Hotel Palomar Phoenix (Government Property Lease Excise Tax) </w:t>
            </w:r>
            <w:r>
              <w:rPr>
                <w:rFonts w:ascii="Times New Roman" w:cs="Times New Roman" w:eastAsia="Times New Roman" w:hAnsi="Times New Roman"/>
                <w:sz w:val="18"/>
                <w:szCs w:val="18"/>
                <w:color w:val="auto"/>
                <w:vertAlign w:val="superscript"/>
              </w:rPr>
              <w:t>(9)</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1/2022 - 6/2033</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$312,000</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7/2033 - 6/2043</w:t>
            </w: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$234,000</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7/2043 - 6/2053</w:t>
            </w:r>
          </w:p>
        </w:tc>
        <w:tc>
          <w:tcPr>
            <w:tcW w:w="1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$156,000</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7/2053 - 6/2063</w:t>
            </w: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$78,000</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7/2063 - 3/2085</w:t>
            </w:r>
          </w:p>
        </w:tc>
        <w:tc>
          <w:tcPr>
            <w:tcW w:w="1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Cavallo Point (Base Rent)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1/2019 - 12/2066</w:t>
            </w:r>
          </w:p>
        </w:tc>
        <w:tc>
          <w:tcPr>
            <w:tcW w:w="1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$140,531 </w:t>
            </w:r>
            <w:r>
              <w:rPr>
                <w:rFonts w:ascii="Times New Roman" w:cs="Times New Roman" w:eastAsia="Times New Roman" w:hAnsi="Times New Roman"/>
                <w:sz w:val="18"/>
                <w:szCs w:val="18"/>
                <w:color w:val="auto"/>
                <w:w w:val="92"/>
                <w:vertAlign w:val="superscript"/>
              </w:rPr>
              <w:t>(10)</w:t>
            </w:r>
          </w:p>
        </w:tc>
        <w:tc>
          <w:tcPr>
            <w:tcW w:w="0" w:type="dxa"/>
            <w:vAlign w:val="bottom"/>
          </w:tcPr>
          <w:p>
            <w:pPr>
              <w:spacing w:after="0"/>
              <w:rPr>
                <w:sz w:val="1"/>
                <w:szCs w:val="1"/>
                <w:color w:val="auto"/>
              </w:rPr>
            </w:pPr>
          </w:p>
        </w:tc>
      </w:tr>
      <w:tr>
        <w:trPr>
          <w:trHeight w:val="213"/>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Cavallo Point </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4"/>
                <w:szCs w:val="14"/>
                <w:color w:val="auto"/>
              </w:rPr>
              <w:t xml:space="preserve"> (Percentage Rent)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1/2024 - 12/2028</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 of adjusted gross revenue over threshold</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1/2029 - 12/2033</w:t>
            </w: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 of adjusted gross revenue over threshold</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1/2034 - 12/2066</w:t>
            </w:r>
          </w:p>
        </w:tc>
        <w:tc>
          <w:tcPr>
            <w:tcW w:w="1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 of adjusted gross revenue over threshold</w:t>
            </w:r>
          </w:p>
        </w:tc>
        <w:tc>
          <w:tcPr>
            <w:tcW w:w="0" w:type="dxa"/>
            <w:vAlign w:val="bottom"/>
          </w:tcPr>
          <w:p>
            <w:pPr>
              <w:spacing w:after="0"/>
              <w:rPr>
                <w:sz w:val="1"/>
                <w:szCs w:val="1"/>
                <w:color w:val="auto"/>
              </w:rPr>
            </w:pPr>
          </w:p>
        </w:tc>
      </w:tr>
      <w:tr>
        <w:trPr>
          <w:trHeight w:val="213"/>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Cavallo Point </w:t>
            </w:r>
            <w:r>
              <w:rPr>
                <w:rFonts w:ascii="Times New Roman" w:cs="Times New Roman" w:eastAsia="Times New Roman" w:hAnsi="Times New Roman"/>
                <w:sz w:val="18"/>
                <w:szCs w:val="18"/>
                <w:color w:val="auto"/>
                <w:vertAlign w:val="superscript"/>
              </w:rPr>
              <w:t>(12)</w:t>
            </w:r>
            <w:r>
              <w:rPr>
                <w:rFonts w:ascii="Times New Roman" w:cs="Times New Roman" w:eastAsia="Times New Roman" w:hAnsi="Times New Roman"/>
                <w:sz w:val="14"/>
                <w:szCs w:val="14"/>
                <w:color w:val="auto"/>
              </w:rPr>
              <w:t xml:space="preserve"> (Participation Rent)</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Through 12/2066</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 of adjusted gross revenue over threshold</w:t>
            </w:r>
          </w:p>
        </w:tc>
        <w:tc>
          <w:tcPr>
            <w:tcW w:w="0" w:type="dxa"/>
            <w:vAlign w:val="bottom"/>
          </w:tcPr>
          <w:p>
            <w:pPr>
              <w:spacing w:after="0"/>
              <w:rPr>
                <w:sz w:val="1"/>
                <w:szCs w:val="1"/>
                <w:color w:val="auto"/>
              </w:rPr>
            </w:pPr>
          </w:p>
        </w:tc>
      </w:tr>
      <w:tr>
        <w:trPr>
          <w:trHeight w:val="213"/>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Bourbon Orleans Hotel parking sublease</w:t>
            </w:r>
          </w:p>
        </w:tc>
        <w:tc>
          <w:tcPr>
            <w:tcW w:w="16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Through 7/2046</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 xml:space="preserve">$36,000 </w:t>
            </w:r>
            <w:r>
              <w:rPr>
                <w:rFonts w:ascii="Times New Roman" w:cs="Times New Roman" w:eastAsia="Times New Roman" w:hAnsi="Times New Roman"/>
                <w:sz w:val="18"/>
                <w:szCs w:val="18"/>
                <w:color w:val="auto"/>
                <w:w w:val="95"/>
                <w:vertAlign w:val="superscript"/>
              </w:rPr>
              <w:t>(13)</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35" w:lineRule="exact"/>
        <w:rPr>
          <w:sz w:val="20"/>
          <w:szCs w:val="20"/>
          <w:color w:val="auto"/>
        </w:rPr>
      </w:pPr>
    </w:p>
    <w:p>
      <w:pPr>
        <w:ind w:left="1500" w:hanging="410"/>
        <w:spacing w:after="0"/>
        <w:tabs>
          <w:tab w:leader="none" w:pos="15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terms assume our exercise of all renewal options.</w:t>
      </w:r>
    </w:p>
    <w:p>
      <w:pPr>
        <w:spacing w:after="0" w:line="105" w:lineRule="exact"/>
        <w:rPr>
          <w:rFonts w:ascii="Times New Roman" w:cs="Times New Roman" w:eastAsia="Times New Roman" w:hAnsi="Times New Roman"/>
          <w:sz w:val="14"/>
          <w:szCs w:val="14"/>
          <w:color w:val="auto"/>
        </w:rPr>
      </w:pPr>
    </w:p>
    <w:p>
      <w:pPr>
        <w:ind w:left="1500" w:hanging="410"/>
        <w:spacing w:after="0"/>
        <w:tabs>
          <w:tab w:leader="none" w:pos="15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rent for the year ended December 31, 2025. Rent increases annually by 5.5%.</w:t>
      </w:r>
    </w:p>
    <w:p>
      <w:pPr>
        <w:spacing w:after="0" w:line="92" w:lineRule="exact"/>
        <w:rPr>
          <w:rFonts w:ascii="Times New Roman" w:cs="Times New Roman" w:eastAsia="Times New Roman" w:hAnsi="Times New Roman"/>
          <w:sz w:val="14"/>
          <w:szCs w:val="14"/>
          <w:color w:val="auto"/>
        </w:rPr>
      </w:pPr>
    </w:p>
    <w:p>
      <w:pPr>
        <w:jc w:val="both"/>
        <w:ind w:left="1500" w:right="179" w:hanging="410"/>
        <w:spacing w:after="0" w:line="230" w:lineRule="auto"/>
        <w:tabs>
          <w:tab w:leader="none" w:pos="15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annual rent includes the fixed rent noted in the table plus a percentage rent equal to 5% of gross receipts for each lease year, but only to the extent that 5% of gross receipts exceeds the minimum fixed rent in such lease year. There was no such percentage rent earned during the years ended December 31, 2025 and 2024.</w:t>
      </w:r>
    </w:p>
    <w:p>
      <w:pPr>
        <w:spacing w:after="0" w:line="70" w:lineRule="exact"/>
        <w:rPr>
          <w:rFonts w:ascii="Times New Roman" w:cs="Times New Roman" w:eastAsia="Times New Roman" w:hAnsi="Times New Roman"/>
          <w:sz w:val="14"/>
          <w:szCs w:val="14"/>
          <w:color w:val="auto"/>
        </w:rPr>
      </w:pPr>
    </w:p>
    <w:p>
      <w:pPr>
        <w:ind w:left="1500" w:hanging="410"/>
        <w:spacing w:after="0"/>
        <w:tabs>
          <w:tab w:leader="none" w:pos="15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rent for the year ended December 31, 2025. Rent increases annually based on the greater of 2% or a Consumer Price Index calculation.</w:t>
      </w:r>
    </w:p>
    <w:p>
      <w:pPr>
        <w:spacing w:after="0" w:line="105" w:lineRule="exact"/>
        <w:rPr>
          <w:rFonts w:ascii="Times New Roman" w:cs="Times New Roman" w:eastAsia="Times New Roman" w:hAnsi="Times New Roman"/>
          <w:sz w:val="14"/>
          <w:szCs w:val="14"/>
          <w:color w:val="auto"/>
        </w:rPr>
      </w:pPr>
    </w:p>
    <w:p>
      <w:pPr>
        <w:ind w:left="1500" w:hanging="410"/>
        <w:spacing w:after="0"/>
        <w:tabs>
          <w:tab w:leader="none" w:pos="15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annual rent under the ground lease is capped at 2.5% of hotel gross revenues during the initial 30 years of the ground lease.</w:t>
      </w:r>
    </w:p>
    <w:p>
      <w:pPr>
        <w:spacing w:after="0" w:line="92" w:lineRule="exact"/>
        <w:rPr>
          <w:rFonts w:ascii="Times New Roman" w:cs="Times New Roman" w:eastAsia="Times New Roman" w:hAnsi="Times New Roman"/>
          <w:sz w:val="14"/>
          <w:szCs w:val="14"/>
          <w:color w:val="auto"/>
        </w:rPr>
      </w:pPr>
    </w:p>
    <w:p>
      <w:pPr>
        <w:ind w:left="1500" w:hanging="410"/>
        <w:spacing w:after="0"/>
        <w:tabs>
          <w:tab w:leader="none" w:pos="15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January 2031, we have the right to renew the ground lease in one-year increments at the prior year's annual rent plus 3%.</w:t>
      </w:r>
    </w:p>
    <w:p>
      <w:pPr>
        <w:spacing w:after="0" w:line="105" w:lineRule="exact"/>
        <w:rPr>
          <w:rFonts w:ascii="Times New Roman" w:cs="Times New Roman" w:eastAsia="Times New Roman" w:hAnsi="Times New Roman"/>
          <w:sz w:val="14"/>
          <w:szCs w:val="14"/>
          <w:color w:val="auto"/>
        </w:rPr>
      </w:pPr>
    </w:p>
    <w:p>
      <w:pPr>
        <w:ind w:left="1500" w:hanging="410"/>
        <w:spacing w:after="0"/>
        <w:tabs>
          <w:tab w:leader="none" w:pos="15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rent for the year ended December 31, 2025. Rent increases annually in June based on a Consumer Price Index calculation.</w:t>
      </w:r>
    </w:p>
    <w:p>
      <w:pPr>
        <w:spacing w:after="0" w:line="105" w:lineRule="exact"/>
        <w:rPr>
          <w:rFonts w:ascii="Times New Roman" w:cs="Times New Roman" w:eastAsia="Times New Roman" w:hAnsi="Times New Roman"/>
          <w:sz w:val="14"/>
          <w:szCs w:val="14"/>
          <w:color w:val="auto"/>
        </w:rPr>
      </w:pPr>
    </w:p>
    <w:p>
      <w:pPr>
        <w:ind w:left="1500" w:hanging="410"/>
        <w:spacing w:after="0"/>
        <w:tabs>
          <w:tab w:leader="none" w:pos="15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rent expense for the year ended December 31, 2025. Rent increases annually each April by 2.5%.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359"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0" w:lineRule="exact"/>
        <w:rPr>
          <w:sz w:val="20"/>
          <w:szCs w:val="20"/>
          <w:color w:val="auto"/>
        </w:rPr>
      </w:pPr>
    </w:p>
    <w:p>
      <w:pPr>
        <w:ind w:left="1500" w:hanging="410"/>
        <w:spacing w:after="0"/>
        <w:tabs>
          <w:tab w:leader="none" w:pos="1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the lessee of a government property, the hotel is subject to a Government Property Lease Excise Tax under Arizona state statute.</w:t>
      </w:r>
    </w:p>
    <w:p>
      <w:pPr>
        <w:spacing w:after="0" w:line="105" w:lineRule="exact"/>
        <w:rPr>
          <w:rFonts w:ascii="Times New Roman" w:cs="Times New Roman" w:eastAsia="Times New Roman" w:hAnsi="Times New Roman"/>
          <w:sz w:val="14"/>
          <w:szCs w:val="14"/>
          <w:color w:val="auto"/>
        </w:rPr>
      </w:pPr>
    </w:p>
    <w:p>
      <w:pPr>
        <w:ind w:left="1500" w:right="1240" w:hanging="410"/>
        <w:spacing w:after="0" w:line="253" w:lineRule="auto"/>
        <w:tabs>
          <w:tab w:leader="none" w:pos="1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rent for the year ending December 31, 2025. Base rent resets every five years based on the average of the sum of base rent and percentage rent of the preceding three years multiplied by 75%. The next base rent reset will be January 2029.</w:t>
      </w:r>
    </w:p>
    <w:p>
      <w:pPr>
        <w:spacing w:after="0" w:line="73" w:lineRule="exact"/>
        <w:rPr>
          <w:rFonts w:ascii="Times New Roman" w:cs="Times New Roman" w:eastAsia="Times New Roman" w:hAnsi="Times New Roman"/>
          <w:sz w:val="14"/>
          <w:szCs w:val="14"/>
          <w:color w:val="auto"/>
        </w:rPr>
      </w:pPr>
    </w:p>
    <w:p>
      <w:pPr>
        <w:ind w:left="1500" w:right="1260" w:hanging="410"/>
        <w:spacing w:after="0" w:line="253" w:lineRule="auto"/>
        <w:tabs>
          <w:tab w:leader="none" w:pos="1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rent is applied to annual adjusted gross revenues, as defined in the ground lease, between $30 million and the participation rent threshold. Base rent is deducted from the percentage rent.</w:t>
      </w:r>
    </w:p>
    <w:p>
      <w:pPr>
        <w:spacing w:after="0" w:line="73" w:lineRule="exact"/>
        <w:rPr>
          <w:rFonts w:ascii="Times New Roman" w:cs="Times New Roman" w:eastAsia="Times New Roman" w:hAnsi="Times New Roman"/>
          <w:sz w:val="14"/>
          <w:szCs w:val="14"/>
          <w:color w:val="auto"/>
        </w:rPr>
      </w:pPr>
    </w:p>
    <w:p>
      <w:pPr>
        <w:ind w:left="1500" w:right="1460" w:hanging="410"/>
        <w:spacing w:after="0" w:line="253" w:lineRule="auto"/>
        <w:tabs>
          <w:tab w:leader="none" w:pos="1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rent is applied to annual adjusted gross revenues, as defined in the ground lease, over $42 million plus an annual increase based on a Consumer Price Index calculation.</w:t>
      </w:r>
    </w:p>
    <w:p>
      <w:pPr>
        <w:spacing w:after="0" w:line="73" w:lineRule="exact"/>
        <w:rPr>
          <w:rFonts w:ascii="Times New Roman" w:cs="Times New Roman" w:eastAsia="Times New Roman" w:hAnsi="Times New Roman"/>
          <w:sz w:val="14"/>
          <w:szCs w:val="14"/>
          <w:color w:val="auto"/>
        </w:rPr>
      </w:pPr>
    </w:p>
    <w:p>
      <w:pPr>
        <w:ind w:left="1500" w:hanging="410"/>
        <w:spacing w:after="0"/>
        <w:tabs>
          <w:tab w:leader="none" w:pos="1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rent for the year ending December 31, 2025. Annual rent increases by $6,000 every five years. The next rent increase will be January 2027.</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5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We are authorized by our charter to issue up to 400 million shares of common stock, $0.01 par value per share. Each outstanding share of common stock entitles the holder to one vote on all matters submitted to a vote of stockholders. Holders of our common stock are entitled to receive dividends out of assets legally available for the payment of dividends when authorized by our board of directors.</w:t>
      </w:r>
    </w:p>
    <w:p>
      <w:pPr>
        <w:spacing w:after="0" w:line="204"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In August 2024, our board of directors approved an “at-the-market” equity offering program (the “ATM Program”), pursuant to which we may issue and sell shares of our common stock from time to time, having an aggregate offering price of up to $200.0 million. No shares were sold under the ATM Program during the years ended December 31, 2025 and 2024.</w:t>
      </w:r>
    </w:p>
    <w:p>
      <w:pPr>
        <w:spacing w:after="0" w:line="204"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Our board of directors authorized the repurchase of up to $200.0 million of our common stock under a share repurchase program. The timing and actual number of shares repurchased will depend on a variety of factors, including price and general business and market conditions. The share repurchase program does not obligate us to acquire any particular amount of shares, and may be suspended or discontinued at any time at our discretion. The share repurchase program will expire on May 1, 2026. During the year ended December 31, 2025, we repurchased 4,798,642 shares of common stock at an average price of $7.72 per share for an aggregate purchase price of $37.1 million. During the year ended December 31, 2024, we repurchased 3,114,876 shares of common stock at an average price of $8.33 per share for a total purchase price of $26.0 million. As of February 27, 2026, we have $137.0 million of authorized capacity remaining under the share repurchase program.</w:t>
      </w: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5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We are authorized by our charter to issue up to 10 million shares of preferred stock, $0.01 par value per share. Our board of directors is required to set for each class or series of preferred stock the terms, preferences, conversion or other rights, voting powers, restrictions, limitations as to dividends or other distributions, qualifications, and terms or conditions of redemption.</w:t>
      </w:r>
    </w:p>
    <w:p>
      <w:pPr>
        <w:spacing w:after="0" w:line="204"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2024, there were 4,760,000 shares of 8.250% Series A Cumulative Redeemable Preferred Stock (“Series A Preferred Stock”) issued and outstanding with a liquidation preference of $25.00 per share. On August 31, 2025, the Series A Preferred Stock became redeemable at the Company's option, in whole or in part, at any time or from time to time, for cash at a redemption price of $25.00 per share, plus accrued and unpaid dividends up to, but not including, the redemption date. On December 31, 2025, the Company redeemed all 4,760,000 outstanding shares at $25.00 per share for a total redemption amount of $119.0 million plus accrued and unpaid dividends.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Partnership Units</w:t>
      </w:r>
    </w:p>
    <w:p>
      <w:pPr>
        <w:spacing w:after="0" w:line="250"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our acquisition of Cavallo Point, The Lodge at the Golden Gate in December 2018, we issued 796,684 common OP units to third parties, otherwise unaffiliated with the Company, then valued at $11.76 per unit. Each common OP unit is redeemable at the option of the holder. Holders of common OP units have certain redemption rights, which enable them to cause our operating partnership to redeem their units in exchange for cash per unit equal to the market price of our common stock, at the time of redemption, or, at our option, for shares of our common stock on a one-for-one basis, subject to adjustment upon the occurrence of stock splits, mergers, consolidations or similar pro-rata share transactions. As of December 31, 2025, there were 421,244 common OP units still outstanding, the other 375,440 common OP units issued in connection with the acquisition have been converted to common stock.</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Long-Term Incentive Partnership units (“LTIP units”), which are also referred to as profits interest units, may be issued to eligible participants under the 2024 Equity Incentive Plan for the performance of services to or for the benefit of our operating partnership. LTIP units are a class of partnership unit in our operating partnership and will receive, whether vested or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 the same per-unit distributions as the outstanding common OP units, which equal per-share dividends on shares of our common stock. Initially, LTIP units have a capital account balance of zero, do not receive an allocation of operating income (loss), and do not have full parity with common OP units with respect to liquidating distributions. If such parity is reached, vested LTIP units are converted into an equal number of common OP units, and thereafter will possess all of the rights and interests of common OP units, including the right to exchange the common OP units for cash per unit equal to the market price of our common stock, at the time of redemption, or, at our option, for shares of our common stock on a one-for-one basis, subject to adjustment upon the occurrence of stock splits, mergers, consolidations or similar pro-rata share transactions. See Note 10 for additional disclosures related to LTIP units.</w:t>
      </w:r>
    </w:p>
    <w:p>
      <w:pPr>
        <w:spacing w:after="0" w:line="210"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There were 1,041,362 and 994,653 common OP units held by third parties and executive officers of the Company as of December 31, 2025 and 2024, respectively. There were 93,418 and 140,127 unvested LTIP units outstanding as of December 31, 2025 and 2024, respectively.</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2025 and 2024, and through the date of this report, we declared and paid the following dividends to holders of our common stock:</w:t>
      </w:r>
    </w:p>
    <w:p>
      <w:pPr>
        <w:spacing w:after="0" w:line="25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1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300" w:type="dxa"/>
            <w:vAlign w:val="bottom"/>
          </w:tcPr>
          <w:p>
            <w:pPr>
              <w:spacing w:after="0"/>
              <w:rPr>
                <w:sz w:val="17"/>
                <w:szCs w:val="17"/>
                <w:color w:val="auto"/>
              </w:rPr>
            </w:pPr>
          </w:p>
        </w:tc>
        <w:tc>
          <w:tcPr>
            <w:tcW w:w="1820" w:type="dxa"/>
            <w:vAlign w:val="bottom"/>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0" w:type="dxa"/>
            <w:vAlign w:val="bottom"/>
          </w:tcPr>
          <w:p>
            <w:pPr>
              <w:spacing w:after="0"/>
              <w:rPr>
                <w:sz w:val="1"/>
                <w:szCs w:val="1"/>
                <w:color w:val="auto"/>
              </w:rPr>
            </w:pPr>
          </w:p>
        </w:tc>
      </w:tr>
      <w:tr>
        <w:trPr>
          <w:trHeight w:val="234"/>
        </w:trPr>
        <w:tc>
          <w:tcPr>
            <w:tcW w:w="4500" w:type="dxa"/>
            <w:vAlign w:val="bottom"/>
            <w:gridSpan w:val="2"/>
            <w:vMerge w:val="continue"/>
          </w:tcPr>
          <w:p>
            <w:pPr>
              <w:spacing w:after="0"/>
              <w:rPr>
                <w:sz w:val="20"/>
                <w:szCs w:val="20"/>
                <w:color w:val="auto"/>
              </w:rPr>
            </w:pPr>
          </w:p>
        </w:tc>
        <w:tc>
          <w:tcPr>
            <w:tcW w:w="21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per Share/Unit</w:t>
            </w:r>
          </w:p>
        </w:tc>
        <w:tc>
          <w:tcPr>
            <w:tcW w:w="0" w:type="dxa"/>
            <w:vAlign w:val="bottom"/>
          </w:tcPr>
          <w:p>
            <w:pPr>
              <w:spacing w:after="0"/>
              <w:rPr>
                <w:sz w:val="1"/>
                <w:szCs w:val="1"/>
                <w:color w:val="auto"/>
              </w:rPr>
            </w:pPr>
          </w:p>
        </w:tc>
      </w:tr>
      <w:tr>
        <w:trPr>
          <w:trHeight w:val="220"/>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12, 2024</w:t>
            </w: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29, 2024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7"/>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12, 2024</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28, 2024</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7"/>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11, 2024</w:t>
            </w: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7"/>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14, 2025</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27"/>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11, 2025</w:t>
            </w: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28, 2025</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7"/>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11, 2025</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7"/>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14, 2025</w:t>
            </w: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2"/>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14, 2026</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2025 and 2024, we paid the following dividends to holders of our Series A Preferred Stock:</w:t>
      </w:r>
    </w:p>
    <w:p>
      <w:pPr>
        <w:spacing w:after="0" w:line="25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1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400" w:type="dxa"/>
            <w:vAlign w:val="bottom"/>
          </w:tcPr>
          <w:p>
            <w:pPr>
              <w:spacing w:after="0"/>
              <w:rPr>
                <w:sz w:val="18"/>
                <w:szCs w:val="18"/>
                <w:color w:val="auto"/>
              </w:rPr>
            </w:pPr>
          </w:p>
        </w:tc>
        <w:tc>
          <w:tcPr>
            <w:tcW w:w="1720" w:type="dxa"/>
            <w:vAlign w:val="bottom"/>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0" w:type="dxa"/>
            <w:vAlign w:val="bottom"/>
          </w:tcPr>
          <w:p>
            <w:pPr>
              <w:spacing w:after="0"/>
              <w:rPr>
                <w:sz w:val="1"/>
                <w:szCs w:val="1"/>
                <w:color w:val="auto"/>
              </w:rPr>
            </w:pPr>
          </w:p>
        </w:tc>
      </w:tr>
      <w:tr>
        <w:trPr>
          <w:trHeight w:val="234"/>
        </w:trPr>
        <w:tc>
          <w:tcPr>
            <w:tcW w:w="4480" w:type="dxa"/>
            <w:vAlign w:val="bottom"/>
            <w:gridSpan w:val="2"/>
            <w:vMerge w:val="continue"/>
          </w:tcPr>
          <w:p>
            <w:pPr>
              <w:spacing w:after="0"/>
              <w:rPr>
                <w:sz w:val="20"/>
                <w:szCs w:val="20"/>
                <w:color w:val="auto"/>
              </w:rPr>
            </w:pPr>
          </w:p>
        </w:tc>
        <w:tc>
          <w:tcPr>
            <w:tcW w:w="212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220"/>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29, 2024</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18, 2024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0.515625</w:t>
            </w:r>
          </w:p>
        </w:tc>
        <w:tc>
          <w:tcPr>
            <w:tcW w:w="0" w:type="dxa"/>
            <w:vAlign w:val="bottom"/>
          </w:tcPr>
          <w:p>
            <w:pPr>
              <w:spacing w:after="0"/>
              <w:rPr>
                <w:sz w:val="1"/>
                <w:szCs w:val="1"/>
                <w:color w:val="auto"/>
              </w:rPr>
            </w:pPr>
          </w:p>
        </w:tc>
      </w:tr>
      <w:tr>
        <w:trPr>
          <w:trHeight w:val="22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28, 2024</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18, 2024</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0.515625</w:t>
            </w:r>
          </w:p>
        </w:tc>
        <w:tc>
          <w:tcPr>
            <w:tcW w:w="0" w:type="dxa"/>
            <w:vAlign w:val="bottom"/>
          </w:tcPr>
          <w:p>
            <w:pPr>
              <w:spacing w:after="0"/>
              <w:rPr>
                <w:sz w:val="1"/>
                <w:szCs w:val="1"/>
                <w:color w:val="auto"/>
              </w:rPr>
            </w:pPr>
          </w:p>
        </w:tc>
      </w:tr>
      <w:tr>
        <w:trPr>
          <w:trHeight w:val="22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 2024</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0.515625</w:t>
            </w:r>
          </w:p>
        </w:tc>
        <w:tc>
          <w:tcPr>
            <w:tcW w:w="0" w:type="dxa"/>
            <w:vAlign w:val="bottom"/>
          </w:tcPr>
          <w:p>
            <w:pPr>
              <w:spacing w:after="0"/>
              <w:rPr>
                <w:sz w:val="1"/>
                <w:szCs w:val="1"/>
                <w:color w:val="auto"/>
              </w:rPr>
            </w:pPr>
          </w:p>
        </w:tc>
      </w:tr>
      <w:tr>
        <w:trPr>
          <w:trHeight w:val="22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 2024</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0.515625</w:t>
            </w:r>
          </w:p>
        </w:tc>
        <w:tc>
          <w:tcPr>
            <w:tcW w:w="0" w:type="dxa"/>
            <w:vAlign w:val="bottom"/>
          </w:tcPr>
          <w:p>
            <w:pPr>
              <w:spacing w:after="0"/>
              <w:rPr>
                <w:sz w:val="1"/>
                <w:szCs w:val="1"/>
                <w:color w:val="auto"/>
              </w:rPr>
            </w:pPr>
          </w:p>
        </w:tc>
      </w:tr>
      <w:tr>
        <w:trPr>
          <w:trHeight w:val="22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28, 2025</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 2025</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0.515625</w:t>
            </w:r>
          </w:p>
        </w:tc>
        <w:tc>
          <w:tcPr>
            <w:tcW w:w="0" w:type="dxa"/>
            <w:vAlign w:val="bottom"/>
          </w:tcPr>
          <w:p>
            <w:pPr>
              <w:spacing w:after="0"/>
              <w:rPr>
                <w:sz w:val="1"/>
                <w:szCs w:val="1"/>
                <w:color w:val="auto"/>
              </w:rPr>
            </w:pPr>
          </w:p>
        </w:tc>
      </w:tr>
      <w:tr>
        <w:trPr>
          <w:trHeight w:val="22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 2025</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0.515625</w:t>
            </w:r>
          </w:p>
        </w:tc>
        <w:tc>
          <w:tcPr>
            <w:tcW w:w="0" w:type="dxa"/>
            <w:vAlign w:val="bottom"/>
          </w:tcPr>
          <w:p>
            <w:pPr>
              <w:spacing w:after="0"/>
              <w:rPr>
                <w:sz w:val="1"/>
                <w:szCs w:val="1"/>
                <w:color w:val="auto"/>
              </w:rPr>
            </w:pPr>
          </w:p>
        </w:tc>
      </w:tr>
      <w:tr>
        <w:trPr>
          <w:trHeight w:val="22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19, 2025</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0.515625</w:t>
            </w:r>
          </w:p>
        </w:tc>
        <w:tc>
          <w:tcPr>
            <w:tcW w:w="0" w:type="dxa"/>
            <w:vAlign w:val="bottom"/>
          </w:tcPr>
          <w:p>
            <w:pPr>
              <w:spacing w:after="0"/>
              <w:rPr>
                <w:sz w:val="1"/>
                <w:szCs w:val="1"/>
                <w:color w:val="auto"/>
              </w:rPr>
            </w:pPr>
          </w:p>
        </w:tc>
      </w:tr>
      <w:tr>
        <w:trPr>
          <w:trHeight w:val="232"/>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19, 2025</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0.515625</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Incentive Plan</w:t>
      </w:r>
    </w:p>
    <w:p>
      <w:pPr>
        <w:spacing w:after="0" w:line="248"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We are authorized to issue up to 7,900,000 shares of our common stock under our 2024 Equity Incentive Plan (the “2024 Plan”), of which we have issued or committed to issue 2,513,353 shares as of December 31, 2025. Shares underlying awards that are granted under the 2024 Plan that are forfeited, cancelled, reacquired prior to vesting, satisfied without the issuance of stock or otherwise terminated (other than by exercise), including shares tendered or held back upon settlement of an award, other than a stock option or stock appreciation right, to cover the tax withholding will be added back to the shares available for issuance under the 2024 Plan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48"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Restricted stock awards issued to our officers and employees generally vest over a three to five year period from the date of the grant based on continued employment. We measure compensation expense for the restricted stock awards based upon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market value of our common stock at the date of grant. Compensation expense is recognized on a straight-line basis over the vesting period and is included in corporate expenses in the accompanying consolidated statements of operations and comprehensive income. A summary of our restricted stock awards from January 1, 2023 to December 31, 2025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3"/>
        </w:trPr>
        <w:tc>
          <w:tcPr>
            <w:tcW w:w="7280" w:type="dxa"/>
            <w:vAlign w:val="bottom"/>
          </w:tcPr>
          <w:p>
            <w:pPr>
              <w:spacing w:after="0"/>
              <w:rPr>
                <w:sz w:val="15"/>
                <w:szCs w:val="15"/>
                <w:color w:val="auto"/>
              </w:rPr>
            </w:pP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Pr>
          <w:p>
            <w:pPr>
              <w:spacing w:after="0"/>
              <w:rPr>
                <w:sz w:val="15"/>
                <w:szCs w:val="15"/>
                <w:color w:val="auto"/>
              </w:rPr>
            </w:pPr>
          </w:p>
        </w:tc>
        <w:tc>
          <w:tcPr>
            <w:tcW w:w="1660" w:type="dxa"/>
            <w:vAlign w:val="bottom"/>
          </w:tcPr>
          <w:p>
            <w:pPr>
              <w:jc w:val="center"/>
              <w:ind w:right="151"/>
              <w:spacing w:after="0" w:line="173"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173"/>
        </w:trPr>
        <w:tc>
          <w:tcPr>
            <w:tcW w:w="728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center"/>
              <w:ind w:right="151"/>
              <w:spacing w:after="0" w:line="173" w:lineRule="exact"/>
              <w:rPr>
                <w:sz w:val="20"/>
                <w:szCs w:val="20"/>
                <w:color w:val="auto"/>
              </w:rPr>
            </w:pPr>
            <w:r>
              <w:rPr>
                <w:rFonts w:ascii="Times New Roman" w:cs="Times New Roman" w:eastAsia="Times New Roman" w:hAnsi="Times New Roman"/>
                <w:sz w:val="18"/>
                <w:szCs w:val="18"/>
                <w:b w:val="1"/>
                <w:bCs w:val="1"/>
                <w:color w:val="auto"/>
              </w:rPr>
              <w:t>Date Fair</w:t>
            </w:r>
          </w:p>
        </w:tc>
        <w:tc>
          <w:tcPr>
            <w:tcW w:w="0" w:type="dxa"/>
            <w:vAlign w:val="bottom"/>
          </w:tcPr>
          <w:p>
            <w:pPr>
              <w:spacing w:after="0"/>
              <w:rPr>
                <w:sz w:val="1"/>
                <w:szCs w:val="1"/>
                <w:color w:val="auto"/>
              </w:rPr>
            </w:pPr>
          </w:p>
        </w:tc>
      </w:tr>
      <w:tr>
        <w:trPr>
          <w:trHeight w:val="240"/>
        </w:trPr>
        <w:tc>
          <w:tcPr>
            <w:tcW w:w="7280" w:type="dxa"/>
            <w:vAlign w:val="bottom"/>
          </w:tcPr>
          <w:p>
            <w:pPr>
              <w:spacing w:after="0"/>
              <w:rPr>
                <w:sz w:val="20"/>
                <w:szCs w:val="20"/>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20"/>
                <w:szCs w:val="20"/>
                <w:color w:val="auto"/>
              </w:rPr>
            </w:pPr>
          </w:p>
        </w:tc>
        <w:tc>
          <w:tcPr>
            <w:tcW w:w="16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0"/>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2023</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1,356,937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27"/>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27"/>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2023</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7"/>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2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2024</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27"/>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2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2025</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841,105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440"/>
        <w:spacing w:after="0" w:line="251" w:lineRule="auto"/>
        <w:rPr>
          <w:sz w:val="20"/>
          <w:szCs w:val="20"/>
          <w:color w:val="auto"/>
        </w:rPr>
      </w:pPr>
      <w:r>
        <w:rPr>
          <w:rFonts w:ascii="Times New Roman" w:cs="Times New Roman" w:eastAsia="Times New Roman" w:hAnsi="Times New Roman"/>
          <w:sz w:val="18"/>
          <w:szCs w:val="18"/>
          <w:color w:val="auto"/>
        </w:rPr>
        <w:t>The total unvested restricted stock awards as of December 31, 2025 are expected to vest as follows: 257,980 during 2025, 400,989 during 2026, 271,720 during 2027, 167,135 during 2028, and 1,261 during 2029. As of December 31, 2025, the unrecognized compensation cost related to restricted stock awards was $4.2 million and the weighted-average period over which the unrecognized compensation expense will be recorded is approximately 22 months. For the years ended December 31, 2025, 2024, and 2023, we recorded $3.1 million, $5.1 million and $4.2 million, respectively, of compensation expense net of forfeitures related to restricted stock awards. The compensation expense recorded for the year ended December 31, 2024 included $2.0 million of accelerated compensation expense related to restricted stock awards for the departures of our former Chief Executive Officer and Chief Investment Officer. The accelerated compensation expense is recorded as severance costs in corporate expenses within the consolidated statements of operations and comprehensive income.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48" w:lineRule="exact"/>
        <w:rPr>
          <w:sz w:val="20"/>
          <w:szCs w:val="20"/>
          <w:color w:val="auto"/>
        </w:rPr>
      </w:pPr>
    </w:p>
    <w:p>
      <w:pPr>
        <w:jc w:val="both"/>
        <w:ind w:firstLine="400"/>
        <w:spacing w:after="0" w:line="269" w:lineRule="auto"/>
        <w:rPr>
          <w:sz w:val="20"/>
          <w:szCs w:val="20"/>
          <w:color w:val="auto"/>
        </w:rPr>
      </w:pPr>
      <w:r>
        <w:rPr>
          <w:rFonts w:ascii="Times New Roman" w:cs="Times New Roman" w:eastAsia="Times New Roman" w:hAnsi="Times New Roman"/>
          <w:sz w:val="17"/>
          <w:szCs w:val="17"/>
          <w:color w:val="auto"/>
        </w:rPr>
        <w:t>Performance stock units (“PSUs”) are restricted stock units that generally vest three years from the date of grant. Each executive officer is granted a target number of PSUs (the “PSU Target Award”). For PSUs granted in 2025, the actual number of shares of common stock issued to each executive officer is based on the Company's achievement of certain levels of total stockholder return relative to the total stockholder return of a peer group of publicly-traded lodging REITs measured over a three-year performance period. There is no payout of shares of our common stock if our total stockholder return falls below the 30th percentile of the total stockholder returns of the peer group. The maximum number of shares of common stock issued to an executive officer is equal to 300% of the PSU Target Award and is earned if our total stockholder return is equal to or greater than the 90th percentile of the total stockholder returns of the peer group. There are limitations on the number of PSUs earned if the Company's total stockholder return is negative for the performance period.</w:t>
      </w:r>
    </w:p>
    <w:p>
      <w:pPr>
        <w:spacing w:after="0" w:line="199"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color w:val="auto"/>
        </w:rPr>
        <w:t>We measure compensation expense for the PSUs based upon the fair market value of the award at the grant date. Compensation expense is recognized on a straight-line basis over the vesting period and is included in corporate expenses in the accompanying consolidated statements of operations and comprehensive income. The grant date fair value is determined using a Monte Carlo simulation performed by a third-party valuation firm. The determination of the grant-date fair values of our PSUs included the following assumptions: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0"/>
        </w:trPr>
        <w:tc>
          <w:tcPr>
            <w:tcW w:w="7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24"/>
                <w:szCs w:val="24"/>
                <w:color w:val="auto"/>
              </w:rPr>
            </w:pPr>
          </w:p>
        </w:tc>
        <w:tc>
          <w:tcPr>
            <w:tcW w:w="120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9"/>
              </w:rPr>
              <w:t>Hotel Market</w:t>
            </w: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3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Award Grant Date</w:t>
            </w:r>
          </w:p>
        </w:tc>
        <w:tc>
          <w:tcPr>
            <w:tcW w:w="1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Risk-Free Rate</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8"/>
                <w:szCs w:val="18"/>
                <w:b w:val="1"/>
                <w:bCs w:val="1"/>
                <w:color w:val="auto"/>
                <w:w w:val="98"/>
              </w:rPr>
              <w:t>Stockholder</w:t>
            </w: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60" w:type="dxa"/>
            <w:vAlign w:val="bottom"/>
          </w:tcPr>
          <w:p>
            <w:pPr>
              <w:spacing w:after="0"/>
              <w:rPr>
                <w:sz w:val="20"/>
                <w:szCs w:val="20"/>
                <w:color w:val="auto"/>
              </w:rPr>
            </w:pPr>
          </w:p>
        </w:tc>
        <w:tc>
          <w:tcPr>
            <w:tcW w:w="3780" w:type="dxa"/>
            <w:vAlign w:val="bottom"/>
            <w:gridSpan w:val="3"/>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Return PSUs</w:t>
            </w:r>
          </w:p>
        </w:tc>
        <w:tc>
          <w:tcPr>
            <w:tcW w:w="14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Share PSUs</w:t>
            </w: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36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 2021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22,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9,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32"/>
        </w:trPr>
        <w:tc>
          <w:tcPr>
            <w:tcW w:w="760" w:type="dxa"/>
            <w:vAlign w:val="bottom"/>
          </w:tcPr>
          <w:p>
            <w:pPr>
              <w:spacing w:after="0"/>
              <w:rPr>
                <w:sz w:val="20"/>
                <w:szCs w:val="20"/>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3,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6" w:lineRule="exact"/>
        <w:rPr>
          <w:sz w:val="20"/>
          <w:szCs w:val="20"/>
          <w:color w:val="auto"/>
        </w:rPr>
      </w:pPr>
    </w:p>
    <w:tbl>
      <w:tblPr>
        <w:tblLayout w:type="fixed"/>
        <w:tblInd w:w="440" w:type="dxa"/>
        <w:tblCellMar>
          <w:top w:w="0" w:type="dxa"/>
          <w:left w:w="0" w:type="dxa"/>
          <w:bottom w:w="0" w:type="dxa"/>
          <w:right w:w="0" w:type="dxa"/>
        </w:tblCellMar>
      </w:tblPr>
      <w:tr>
        <w:trPr>
          <w:trHeight w:val="232"/>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our PSUs from January 1, 2023 to December 31, 2025 is as follows:</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5"/>
                <w:szCs w:val="15"/>
                <w:color w:val="auto"/>
              </w:rPr>
            </w:pPr>
          </w:p>
        </w:tc>
        <w:tc>
          <w:tcPr>
            <w:tcW w:w="1460" w:type="dxa"/>
            <w:vAlign w:val="bottom"/>
          </w:tcPr>
          <w:p>
            <w:pPr>
              <w:jc w:val="center"/>
              <w:ind w:right="111"/>
              <w:spacing w:after="0" w:line="180"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right="111"/>
              <w:spacing w:after="0" w:line="181" w:lineRule="exact"/>
              <w:rPr>
                <w:sz w:val="20"/>
                <w:szCs w:val="20"/>
                <w:color w:val="auto"/>
              </w:rPr>
            </w:pPr>
            <w:r>
              <w:rPr>
                <w:rFonts w:ascii="Times New Roman" w:cs="Times New Roman" w:eastAsia="Times New Roman" w:hAnsi="Times New Roman"/>
                <w:sz w:val="18"/>
                <w:szCs w:val="18"/>
                <w:b w:val="1"/>
                <w:bCs w:val="1"/>
                <w:color w:val="auto"/>
              </w:rPr>
              <w:t>Date Fair</w:t>
            </w: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80" w:type="dxa"/>
            <w:vAlign w:val="bottom"/>
          </w:tcPr>
          <w:p>
            <w:pPr>
              <w:spacing w:after="0"/>
              <w:rPr>
                <w:sz w:val="19"/>
                <w:szCs w:val="19"/>
                <w:color w:val="auto"/>
              </w:rPr>
            </w:pPr>
          </w:p>
        </w:tc>
        <w:tc>
          <w:tcPr>
            <w:tcW w:w="14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33"/>
        </w:trPr>
        <w:tc>
          <w:tcPr>
            <w:tcW w:w="640" w:type="dxa"/>
            <w:vAlign w:val="bottom"/>
          </w:tcPr>
          <w:p>
            <w:pPr>
              <w:spacing w:after="0"/>
              <w:rPr>
                <w:sz w:val="20"/>
                <w:szCs w:val="20"/>
                <w:color w:val="auto"/>
              </w:rPr>
            </w:pPr>
          </w:p>
        </w:tc>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950,653</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53"/>
        </w:trPr>
        <w:tc>
          <w:tcPr>
            <w:tcW w:w="640" w:type="dxa"/>
            <w:vAlign w:val="bottom"/>
          </w:tcPr>
          <w:p>
            <w:pPr>
              <w:spacing w:after="0"/>
              <w:rPr>
                <w:sz w:val="22"/>
                <w:szCs w:val="22"/>
                <w:color w:val="auto"/>
              </w:rPr>
            </w:pPr>
          </w:p>
        </w:tc>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363,523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53"/>
        </w:trPr>
        <w:tc>
          <w:tcPr>
            <w:tcW w:w="640" w:type="dxa"/>
            <w:vAlign w:val="bottom"/>
          </w:tcPr>
          <w:p>
            <w:pPr>
              <w:spacing w:after="0"/>
              <w:rPr>
                <w:sz w:val="22"/>
                <w:szCs w:val="22"/>
                <w:color w:val="auto"/>
              </w:rPr>
            </w:pPr>
          </w:p>
        </w:tc>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units from dividends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53"/>
        </w:trPr>
        <w:tc>
          <w:tcPr>
            <w:tcW w:w="640" w:type="dxa"/>
            <w:vAlign w:val="bottom"/>
          </w:tcPr>
          <w:p>
            <w:pPr>
              <w:spacing w:after="0"/>
              <w:rPr>
                <w:sz w:val="22"/>
                <w:szCs w:val="22"/>
                <w:color w:val="auto"/>
              </w:rPr>
            </w:pPr>
          </w:p>
        </w:tc>
        <w:tc>
          <w:tcPr>
            <w:tcW w:w="5740" w:type="dxa"/>
            <w:vAlign w:val="bottom"/>
            <w:tcBorders>
              <w:bottom w:val="single" w:sz="8" w:color="CCEEFF"/>
            </w:tcBorders>
          </w:tcPr>
          <w:p>
            <w:pPr>
              <w:ind w:left="240"/>
              <w:spacing w:after="0" w:line="253"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(1)</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(299,766)</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33"/>
        </w:trPr>
        <w:tc>
          <w:tcPr>
            <w:tcW w:w="640" w:type="dxa"/>
            <w:vAlign w:val="bottom"/>
          </w:tcPr>
          <w:p>
            <w:pPr>
              <w:spacing w:after="0"/>
              <w:rPr>
                <w:sz w:val="20"/>
                <w:szCs w:val="20"/>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1,032,296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53"/>
        </w:trPr>
        <w:tc>
          <w:tcPr>
            <w:tcW w:w="640" w:type="dxa"/>
            <w:vAlign w:val="bottom"/>
          </w:tcPr>
          <w:p>
            <w:pPr>
              <w:spacing w:after="0"/>
              <w:rPr>
                <w:sz w:val="22"/>
                <w:szCs w:val="22"/>
                <w:color w:val="auto"/>
              </w:rPr>
            </w:pPr>
          </w:p>
        </w:tc>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364,799</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53"/>
        </w:trPr>
        <w:tc>
          <w:tcPr>
            <w:tcW w:w="640" w:type="dxa"/>
            <w:vAlign w:val="bottom"/>
          </w:tcPr>
          <w:p>
            <w:pPr>
              <w:spacing w:after="0"/>
              <w:rPr>
                <w:sz w:val="22"/>
                <w:szCs w:val="22"/>
                <w:color w:val="auto"/>
              </w:rPr>
            </w:pPr>
          </w:p>
        </w:tc>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units from dividends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53"/>
        </w:trPr>
        <w:tc>
          <w:tcPr>
            <w:tcW w:w="640" w:type="dxa"/>
            <w:vAlign w:val="bottom"/>
          </w:tcPr>
          <w:p>
            <w:pPr>
              <w:spacing w:after="0"/>
              <w:rPr>
                <w:sz w:val="22"/>
                <w:szCs w:val="22"/>
                <w:color w:val="auto"/>
              </w:rPr>
            </w:pPr>
          </w:p>
        </w:tc>
        <w:tc>
          <w:tcPr>
            <w:tcW w:w="5740" w:type="dxa"/>
            <w:vAlign w:val="bottom"/>
            <w:tcBorders>
              <w:bottom w:val="single" w:sz="8" w:color="CCEEFF"/>
            </w:tcBorders>
          </w:tcPr>
          <w:p>
            <w:pPr>
              <w:ind w:left="240"/>
              <w:spacing w:after="0" w:line="253"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(2)</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(301,861)</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33"/>
        </w:trPr>
        <w:tc>
          <w:tcPr>
            <w:tcW w:w="640" w:type="dxa"/>
            <w:vAlign w:val="bottom"/>
          </w:tcPr>
          <w:p>
            <w:pPr>
              <w:spacing w:after="0"/>
              <w:rPr>
                <w:sz w:val="20"/>
                <w:szCs w:val="20"/>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1,108,574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53"/>
        </w:trPr>
        <w:tc>
          <w:tcPr>
            <w:tcW w:w="640" w:type="dxa"/>
            <w:vAlign w:val="bottom"/>
          </w:tcPr>
          <w:p>
            <w:pPr>
              <w:spacing w:after="0"/>
              <w:rPr>
                <w:sz w:val="22"/>
                <w:szCs w:val="22"/>
                <w:color w:val="auto"/>
              </w:rPr>
            </w:pPr>
          </w:p>
        </w:tc>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607,533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53"/>
        </w:trPr>
        <w:tc>
          <w:tcPr>
            <w:tcW w:w="640" w:type="dxa"/>
            <w:vAlign w:val="bottom"/>
          </w:tcPr>
          <w:p>
            <w:pPr>
              <w:spacing w:after="0"/>
              <w:rPr>
                <w:sz w:val="22"/>
                <w:szCs w:val="22"/>
                <w:color w:val="auto"/>
              </w:rPr>
            </w:pPr>
          </w:p>
        </w:tc>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units from dividends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53"/>
        </w:trPr>
        <w:tc>
          <w:tcPr>
            <w:tcW w:w="640" w:type="dxa"/>
            <w:vAlign w:val="bottom"/>
          </w:tcPr>
          <w:p>
            <w:pPr>
              <w:spacing w:after="0"/>
              <w:rPr>
                <w:sz w:val="22"/>
                <w:szCs w:val="22"/>
                <w:color w:val="auto"/>
              </w:rPr>
            </w:pPr>
          </w:p>
        </w:tc>
        <w:tc>
          <w:tcPr>
            <w:tcW w:w="5740" w:type="dxa"/>
            <w:vAlign w:val="bottom"/>
            <w:tcBorders>
              <w:bottom w:val="single" w:sz="8" w:color="CCEEFF"/>
            </w:tcBorders>
          </w:tcPr>
          <w:p>
            <w:pPr>
              <w:ind w:left="240"/>
              <w:spacing w:after="0" w:line="253"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(3)</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(342,042)</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45"/>
        </w:trPr>
        <w:tc>
          <w:tcPr>
            <w:tcW w:w="640" w:type="dxa"/>
            <w:vAlign w:val="bottom"/>
          </w:tcPr>
          <w:p>
            <w:pPr>
              <w:spacing w:after="0"/>
              <w:rPr>
                <w:sz w:val="20"/>
                <w:szCs w:val="20"/>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1,467,411</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55" w:lineRule="exact"/>
        <w:rPr>
          <w:sz w:val="20"/>
          <w:szCs w:val="20"/>
          <w:color w:val="auto"/>
        </w:rPr>
      </w:pPr>
    </w:p>
    <w:p>
      <w:pPr>
        <w:ind w:left="640" w:hanging="314"/>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earned for the PSUs vested in 2023 was equal to 103.36% of the PSU Target Award.</w:t>
      </w:r>
    </w:p>
    <w:p>
      <w:pPr>
        <w:spacing w:after="0" w:line="52"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earned for the PSUs vested in 2024 was equal to 95.56% of the PSU Target Award.</w:t>
      </w:r>
    </w:p>
    <w:p>
      <w:pPr>
        <w:spacing w:after="0" w:line="65" w:lineRule="exact"/>
        <w:rPr>
          <w:rFonts w:ascii="Times New Roman" w:cs="Times New Roman" w:eastAsia="Times New Roman" w:hAnsi="Times New Roman"/>
          <w:sz w:val="14"/>
          <w:szCs w:val="14"/>
          <w:color w:val="auto"/>
        </w:rPr>
      </w:pPr>
    </w:p>
    <w:p>
      <w:pPr>
        <w:ind w:left="640" w:hanging="314"/>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earned for the PSUs vested in 2025 was equal to 101.26% of the PSU Target Award.</w:t>
      </w:r>
    </w:p>
    <w:p>
      <w:pPr>
        <w:spacing w:after="0" w:line="256"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The remaining unvested PSUs expected to vest are as follows: 399,570 during 2026, 432,835 in 2027 and 635,006 during 2028. As of December 31, 2025, the unrecognized compensation cost related to the PSUs was $5.2 million and is expected to be recognized on a straight-line basis over a period of 23 months. For the years ended December 31, 2025, 2024, and 2023, we recorded approximately $3.0 million, $4.2 million, and $3.0 million, respectively, of compensation expense net of forfeitures related to the PSUs. The compensation expense recorded for the year ended December 31, 2025 included $1.8 million of accelerated compensation expense related to PSUs for the departures of our former Chief Executive Officer and Chief Investment Officer. The accelerated compensation expense is recorded as severance costs in corporate expenses within the consolidated statements of operations and comprehensive income. These awards will vest at 100% of the PSU Target Award based on their original vesting schedule.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LTIP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LTIP units from January 1, 2023 to December 31, 2025 is as follows: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0"/>
        </w:trPr>
        <w:tc>
          <w:tcPr>
            <w:tcW w:w="44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5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20" w:type="dxa"/>
            <w:vAlign w:val="bottom"/>
          </w:tcPr>
          <w:p>
            <w:pPr>
              <w:spacing w:after="0"/>
              <w:rPr>
                <w:sz w:val="15"/>
                <w:szCs w:val="15"/>
                <w:color w:val="auto"/>
              </w:rPr>
            </w:pPr>
          </w:p>
        </w:tc>
        <w:tc>
          <w:tcPr>
            <w:tcW w:w="1860" w:type="dxa"/>
            <w:vAlign w:val="bottom"/>
          </w:tcPr>
          <w:p>
            <w:pPr>
              <w:jc w:val="center"/>
              <w:ind w:right="231"/>
              <w:spacing w:after="0" w:line="173"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center"/>
              <w:ind w:right="231"/>
              <w:spacing w:after="0" w:line="173" w:lineRule="exact"/>
              <w:rPr>
                <w:sz w:val="20"/>
                <w:szCs w:val="20"/>
                <w:color w:val="auto"/>
              </w:rPr>
            </w:pPr>
            <w:r>
              <w:rPr>
                <w:rFonts w:ascii="Times New Roman" w:cs="Times New Roman" w:eastAsia="Times New Roman" w:hAnsi="Times New Roman"/>
                <w:sz w:val="18"/>
                <w:szCs w:val="18"/>
                <w:b w:val="1"/>
                <w:bCs w:val="1"/>
                <w:color w:val="auto"/>
              </w:rPr>
              <w:t>Date Fair</w:t>
            </w:r>
          </w:p>
        </w:tc>
        <w:tc>
          <w:tcPr>
            <w:tcW w:w="0" w:type="dxa"/>
            <w:vAlign w:val="bottom"/>
          </w:tcPr>
          <w:p>
            <w:pPr>
              <w:spacing w:after="0"/>
              <w:rPr>
                <w:sz w:val="1"/>
                <w:szCs w:val="1"/>
                <w:color w:val="auto"/>
              </w:rPr>
            </w:pPr>
          </w:p>
        </w:tc>
      </w:tr>
      <w:tr>
        <w:trPr>
          <w:trHeight w:val="240"/>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320" w:type="dxa"/>
            <w:vAlign w:val="bottom"/>
          </w:tcPr>
          <w:p>
            <w:pPr>
              <w:spacing w:after="0"/>
              <w:rPr>
                <w:sz w:val="20"/>
                <w:szCs w:val="20"/>
                <w:color w:val="auto"/>
              </w:rPr>
            </w:pPr>
          </w:p>
        </w:tc>
        <w:tc>
          <w:tcPr>
            <w:tcW w:w="186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5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January 1, 2023</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98,050</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257,270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59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(1)</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balance at December 31, 2023</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314,137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5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5920" w:type="dxa"/>
            <w:vAlign w:val="bottom"/>
            <w:tcBorders>
              <w:bottom w:val="single" w:sz="8" w:color="CCEEFF"/>
            </w:tcBorders>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(1)</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(271,487)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December 31, 2024</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5920" w:type="dxa"/>
            <w:vAlign w:val="bottom"/>
            <w:tcBorders>
              <w:bottom w:val="single" w:sz="8" w:color="CCEEFF"/>
            </w:tcBorders>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(1)</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0"/>
                <w:szCs w:val="20"/>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December 31, 2025</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93,418</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55" w:lineRule="exact"/>
        <w:rPr>
          <w:sz w:val="20"/>
          <w:szCs w:val="20"/>
          <w:color w:val="auto"/>
        </w:rPr>
      </w:pPr>
    </w:p>
    <w:p>
      <w:pPr>
        <w:ind w:left="640" w:hanging="314"/>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all vested LTIP units have achieved economic parity with common OP units and have been converted to common OP units.</w:t>
      </w:r>
    </w:p>
    <w:p>
      <w:pPr>
        <w:spacing w:after="0" w:line="256"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The remaining unvested LTIP units are expected to vest as follows: 46,709 during both 2026 and 2027. As of December 31, 2025, the unrecognized compensation cost related to LTIP unit awards was $0.5 million and the weighted-average period over which the unrecognized compensation expense will be recorded is approximately 16 months. For the years ended December 31, 2025, 2024, and 2023, we recorded $0.4 million, $2.0 million, and $0.8 million, respectively, of compensation expense related to LTIP unit awards. The compensation expense recorded for the year ended December 31, 2024 included $1.2 million of accelerated compensation expense related to LTIPs for the departures of our former Chief Executive Officer and Chief Investment Officer. The accelerated compensation expense is recorded as severance costs in corporate expenses within the consolidated statements of operations and comprehensive income.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48"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REIT under the provisions of the Internal Revenue Code, which requires that we distribute at least 90% of our taxable income annually to our stockholders and comply with certain other requirements. In addition to paying federal and state taxes on any retained income, we may be subject to taxes on “built in gains” on sales of certain assets. Our taxable REIT subsidiaries are subject to federal, state and local taxes.</w:t>
      </w:r>
    </w:p>
    <w:p>
      <w:pPr>
        <w:spacing w:after="0" w:line="204"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For federal income tax purposes, the cash distributions paid to holders of our common stock, and historically to holders of our Series A Preferred Stock prior to its redemption on December 31, 2025, may be characterized as ordinary income, return of capital (generally non-taxable) or capital gains. Tax law permits certain characterization of distributions, which could result in differences between cash basis and tax basis distribution amounts.</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characterizes distributions paid to holders of common stock and Series A Preferred Stock on a tax basis for the years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w:t>
      </w:r>
    </w:p>
    <w:p>
      <w:pPr>
        <w:sectPr>
          <w:pgSz w:w="11900" w:h="16838" w:orient="portrait"/>
          <w:cols w:equalWidth="0" w:num="1">
            <w:col w:w="11240"/>
          </w:cols>
          <w:pgMar w:left="320" w:top="3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Common Stock</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Ordinary non-qualified income</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Qualified dividends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Series A Preferred Stock</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Ordinary non-qualified income</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Qualified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28"/>
        </w:trPr>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0.360000</w:t>
            </w:r>
          </w:p>
        </w:tc>
        <w:tc>
          <w:tcPr>
            <w:tcW w:w="120" w:type="dxa"/>
            <w:vAlign w:val="bottom"/>
          </w:tcPr>
          <w:p>
            <w:pPr>
              <w:spacing w:after="0"/>
              <w:rPr>
                <w:sz w:val="24"/>
                <w:szCs w:val="24"/>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0.320000</w:t>
            </w:r>
          </w:p>
        </w:tc>
        <w:tc>
          <w:tcPr>
            <w:tcW w:w="120" w:type="dxa"/>
            <w:vAlign w:val="bottom"/>
          </w:tcPr>
          <w:p>
            <w:pPr>
              <w:spacing w:after="0"/>
              <w:rPr>
                <w:sz w:val="24"/>
                <w:szCs w:val="24"/>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0.120000</w:t>
            </w:r>
          </w:p>
        </w:tc>
      </w:tr>
      <w:tr>
        <w:trPr>
          <w:trHeight w:val="232"/>
        </w:trPr>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0.360000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0.320000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0.120000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15"/>
        </w:trPr>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2.062500</w:t>
            </w:r>
          </w:p>
        </w:tc>
        <w:tc>
          <w:tcPr>
            <w:tcW w:w="120" w:type="dxa"/>
            <w:vAlign w:val="bottom"/>
          </w:tcPr>
          <w:p>
            <w:pPr>
              <w:spacing w:after="0"/>
              <w:rPr>
                <w:sz w:val="24"/>
                <w:szCs w:val="24"/>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2.062500</w:t>
            </w:r>
          </w:p>
        </w:tc>
        <w:tc>
          <w:tcPr>
            <w:tcW w:w="120" w:type="dxa"/>
            <w:vAlign w:val="bottom"/>
          </w:tcPr>
          <w:p>
            <w:pPr>
              <w:spacing w:after="0"/>
              <w:rPr>
                <w:sz w:val="24"/>
                <w:szCs w:val="24"/>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2.062500</w:t>
            </w:r>
          </w:p>
        </w:tc>
      </w:tr>
      <w:tr>
        <w:trPr>
          <w:trHeight w:val="232"/>
        </w:trPr>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2.062500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2.062500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2.062500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-1217930</wp:posOffset>
            </wp:positionV>
            <wp:extent cx="6448425" cy="144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6448425" cy="1441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-930275</wp:posOffset>
            </wp:positionV>
            <wp:extent cx="6448425" cy="144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6448425" cy="1441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-617220</wp:posOffset>
            </wp:positionV>
            <wp:extent cx="6448425" cy="144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6448425" cy="1441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-329565</wp:posOffset>
            </wp:positionV>
            <wp:extent cx="6448425" cy="144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6448425" cy="144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720"/>
            <w:col w:w="4860"/>
          </w:cols>
          <w:pgMar w:left="320" w:top="346" w:right="339" w:bottom="1440" w:gutter="0" w:footer="0" w:header="0"/>
          <w:type w:val="continuous"/>
        </w:sectPr>
      </w:pP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provision for income taxes consists of the following (in thousands):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328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0"/>
        </w:trPr>
        <w:tc>
          <w:tcPr>
            <w:tcW w:w="58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7"/>
        </w:trPr>
        <w:tc>
          <w:tcPr>
            <w:tcW w:w="58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7"/>
        </w:trPr>
        <w:tc>
          <w:tcPr>
            <w:tcW w:w="5860" w:type="dxa"/>
            <w:vAlign w:val="bottom"/>
          </w:tcPr>
          <w:p>
            <w:pPr>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Income before income taxes </w:t>
            </w:r>
            <w:r>
              <w:rPr>
                <w:rFonts w:ascii="Times New Roman" w:cs="Times New Roman" w:eastAsia="Times New Roman" w:hAnsi="Times New Roman"/>
                <w:sz w:val="23"/>
                <w:szCs w:val="23"/>
                <w:b w:val="1"/>
                <w:bCs w:val="1"/>
                <w:color w:val="auto"/>
                <w:vertAlign w:val="superscript"/>
              </w:rPr>
              <w:t>(1)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100,711</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86,952</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3"/>
        </w:trPr>
        <w:tc>
          <w:tcPr>
            <w:tcW w:w="58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7"/>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tax expense</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7"/>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7"/>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20"/>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0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7"/>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7"/>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0"/>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0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7"/>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7"/>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5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ind w:left="640" w:hanging="314"/>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income before income taxes was is attributable to the United States.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reconciliation of the tax provision at the U.S. federal statutory rate to income tax expense is as follows (in thousands):</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20"/>
        </w:trPr>
        <w:tc>
          <w:tcPr>
            <w:tcW w:w="5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r>
      <w:tr>
        <w:trPr>
          <w:trHeight w:val="220"/>
        </w:trPr>
        <w:tc>
          <w:tcPr>
            <w:tcW w:w="5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21,149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10,456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18,260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7"/>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tax impact of REIT election</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(21,163)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(10,129)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(17,315)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7"/>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(133)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(188)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(1,653)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(1,235)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7"/>
        </w:trPr>
        <w:tc>
          <w:tcPr>
            <w:tcW w:w="5160" w:type="dxa"/>
            <w:vAlign w:val="bottom"/>
            <w:tcBorders>
              <w:bottom w:val="single" w:sz="8" w:color="CCEEFF"/>
            </w:tcBorders>
          </w:tcPr>
          <w:p>
            <w:pPr>
              <w:spacing w:after="0" w:line="226" w:lineRule="exact"/>
              <w:rPr>
                <w:sz w:val="20"/>
                <w:szCs w:val="20"/>
                <w:color w:val="auto"/>
              </w:rPr>
            </w:pPr>
            <w:r>
              <w:rPr>
                <w:rFonts w:ascii="Times New Roman" w:cs="Times New Roman" w:eastAsia="Times New Roman" w:hAnsi="Times New Roman"/>
                <w:sz w:val="18"/>
                <w:szCs w:val="18"/>
                <w:color w:val="auto"/>
              </w:rPr>
              <w:t xml:space="preserve">Domestic state and local income taxes, net of federal effect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569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1,313</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795</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45"/>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(1,231)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1,541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317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ind w:left="640" w:hanging="314"/>
        <w:spacing w:after="0" w:line="293" w:lineRule="auto"/>
        <w:tabs>
          <w:tab w:leader="none" w:pos="63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2025 and 2024, state and local income taxes in California, Illinois, Texas and Louisiana comprise the majority (greater than 50 percent) of the tax effect in this category. In 2023, state and local income taxes in Illinois and Texas comprise the majority (greater than 50 percent) of the tax effect in this category.</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Income taxes paid, net of refunds are as follows (in thousands):</w:t>
      </w:r>
    </w:p>
    <w:p>
      <w:pPr>
        <w:sectPr>
          <w:pgSz w:w="11900" w:h="16838" w:orient="portrait"/>
          <w:cols w:equalWidth="0" w:num="1">
            <w:col w:w="11240"/>
          </w:cols>
          <w:pgMar w:left="320" w:top="3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820"/>
        </w:trPr>
        <w:tc>
          <w:tcPr>
            <w:tcW w:w="4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49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r>
      <w:tr>
        <w:trPr>
          <w:trHeight w:val="220"/>
        </w:trPr>
        <w:tc>
          <w:tcPr>
            <w:tcW w:w="400" w:type="dxa"/>
            <w:vAlign w:val="bottom"/>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40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7"/>
        </w:trPr>
        <w:tc>
          <w:tcPr>
            <w:tcW w:w="40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State &amp; Local</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7"/>
        </w:trPr>
        <w:tc>
          <w:tcPr>
            <w:tcW w:w="400" w:type="dxa"/>
            <w:vAlign w:val="bottom"/>
          </w:tcPr>
          <w:p>
            <w:pPr>
              <w:spacing w:after="0"/>
              <w:rPr>
                <w:sz w:val="19"/>
                <w:szCs w:val="19"/>
                <w:color w:val="auto"/>
              </w:rPr>
            </w:pPr>
          </w:p>
        </w:tc>
        <w:tc>
          <w:tcPr>
            <w:tcW w:w="5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California</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7"/>
        </w:trPr>
        <w:tc>
          <w:tcPr>
            <w:tcW w:w="400" w:type="dxa"/>
            <w:vAlign w:val="bottom"/>
          </w:tcPr>
          <w:p>
            <w:pPr>
              <w:spacing w:after="0"/>
              <w:rPr>
                <w:sz w:val="19"/>
                <w:szCs w:val="19"/>
                <w:color w:val="auto"/>
              </w:rPr>
            </w:pPr>
          </w:p>
        </w:tc>
        <w:tc>
          <w:tcPr>
            <w:tcW w:w="5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Illinois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7"/>
        </w:trPr>
        <w:tc>
          <w:tcPr>
            <w:tcW w:w="400" w:type="dxa"/>
            <w:vAlign w:val="bottom"/>
          </w:tcPr>
          <w:p>
            <w:pPr>
              <w:spacing w:after="0"/>
              <w:rPr>
                <w:sz w:val="19"/>
                <w:szCs w:val="19"/>
                <w:color w:val="auto"/>
              </w:rPr>
            </w:pPr>
          </w:p>
        </w:tc>
        <w:tc>
          <w:tcPr>
            <w:tcW w:w="5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Louisiana</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7"/>
        </w:trPr>
        <w:tc>
          <w:tcPr>
            <w:tcW w:w="400" w:type="dxa"/>
            <w:vAlign w:val="bottom"/>
          </w:tcPr>
          <w:p>
            <w:pPr>
              <w:spacing w:after="0"/>
              <w:rPr>
                <w:sz w:val="19"/>
                <w:szCs w:val="19"/>
                <w:color w:val="auto"/>
              </w:rPr>
            </w:pPr>
          </w:p>
        </w:tc>
        <w:tc>
          <w:tcPr>
            <w:tcW w:w="5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New York</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0" w:type="dxa"/>
            <w:vAlign w:val="bottom"/>
          </w:tcPr>
          <w:p>
            <w:pPr>
              <w:spacing w:after="0"/>
              <w:rPr>
                <w:sz w:val="19"/>
                <w:szCs w:val="19"/>
                <w:color w:val="auto"/>
              </w:rPr>
            </w:pPr>
          </w:p>
        </w:tc>
        <w:tc>
          <w:tcPr>
            <w:tcW w:w="5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Texas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7"/>
        </w:trPr>
        <w:tc>
          <w:tcPr>
            <w:tcW w:w="400" w:type="dxa"/>
            <w:vAlign w:val="bottom"/>
          </w:tcPr>
          <w:p>
            <w:pPr>
              <w:spacing w:after="0"/>
              <w:rPr>
                <w:sz w:val="19"/>
                <w:szCs w:val="19"/>
                <w:color w:val="auto"/>
              </w:rPr>
            </w:pPr>
          </w:p>
        </w:tc>
        <w:tc>
          <w:tcPr>
            <w:tcW w:w="5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Vermont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7"/>
        </w:trPr>
        <w:tc>
          <w:tcPr>
            <w:tcW w:w="400" w:type="dxa"/>
            <w:vAlign w:val="bottom"/>
          </w:tcPr>
          <w:p>
            <w:pPr>
              <w:spacing w:after="0"/>
              <w:rPr>
                <w:sz w:val="19"/>
                <w:szCs w:val="19"/>
                <w:color w:val="auto"/>
              </w:rPr>
            </w:pPr>
          </w:p>
        </w:tc>
        <w:tc>
          <w:tcPr>
            <w:tcW w:w="5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Massachusetts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0" w:type="dxa"/>
            <w:vAlign w:val="bottom"/>
          </w:tcPr>
          <w:p>
            <w:pPr>
              <w:spacing w:after="0"/>
              <w:rPr>
                <w:sz w:val="19"/>
                <w:szCs w:val="19"/>
                <w:color w:val="auto"/>
              </w:rPr>
            </w:pPr>
          </w:p>
        </w:tc>
        <w:tc>
          <w:tcPr>
            <w:tcW w:w="5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Florida</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0" w:type="dxa"/>
            <w:vAlign w:val="bottom"/>
          </w:tcPr>
          <w:p>
            <w:pPr>
              <w:spacing w:after="0"/>
              <w:rPr>
                <w:sz w:val="19"/>
                <w:szCs w:val="19"/>
                <w:color w:val="auto"/>
              </w:rPr>
            </w:pPr>
          </w:p>
        </w:tc>
        <w:tc>
          <w:tcPr>
            <w:tcW w:w="5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Montana</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0" w:type="dxa"/>
            <w:vAlign w:val="bottom"/>
          </w:tcPr>
          <w:p>
            <w:pPr>
              <w:spacing w:after="0"/>
              <w:rPr>
                <w:sz w:val="19"/>
                <w:szCs w:val="19"/>
                <w:color w:val="auto"/>
              </w:rPr>
            </w:pPr>
          </w:p>
        </w:tc>
        <w:tc>
          <w:tcPr>
            <w:tcW w:w="5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 Carolina</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0" w:type="dxa"/>
            <w:vAlign w:val="bottom"/>
          </w:tcPr>
          <w:p>
            <w:pPr>
              <w:spacing w:after="0"/>
              <w:rPr>
                <w:sz w:val="19"/>
                <w:szCs w:val="19"/>
                <w:color w:val="auto"/>
              </w:rPr>
            </w:pPr>
          </w:p>
        </w:tc>
        <w:tc>
          <w:tcPr>
            <w:tcW w:w="5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0"/>
        </w:trPr>
        <w:tc>
          <w:tcPr>
            <w:tcW w:w="400" w:type="dxa"/>
            <w:vAlign w:val="bottom"/>
          </w:tcPr>
          <w:p>
            <w:pPr>
              <w:spacing w:after="0"/>
              <w:rPr>
                <w:sz w:val="19"/>
                <w:szCs w:val="19"/>
                <w:color w:val="auto"/>
              </w:rPr>
            </w:pPr>
          </w:p>
        </w:tc>
        <w:tc>
          <w:tcPr>
            <w:tcW w:w="5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State &amp; Local</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45"/>
        </w:trPr>
        <w:tc>
          <w:tcPr>
            <w:tcW w:w="400" w:type="dxa"/>
            <w:vAlign w:val="bottom"/>
          </w:tcPr>
          <w:p>
            <w:pPr>
              <w:spacing w:after="0"/>
              <w:rPr>
                <w:sz w:val="20"/>
                <w:szCs w:val="20"/>
                <w:color w:val="auto"/>
              </w:rPr>
            </w:pP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88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r>
      <w:tr>
        <w:trPr>
          <w:trHeight w:val="20"/>
        </w:trPr>
        <w:tc>
          <w:tcPr>
            <w:tcW w:w="40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amount of income taxes paid during the year does not meet the 5% disaggregation threshold.</w:t>
      </w:r>
    </w:p>
    <w:p>
      <w:pPr>
        <w:spacing w:after="0" w:line="243"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Deferred income taxes are recognized for temporary differences between the financial reporting bases of assets and liabilities and their respective tax bases and for operating loss and tax credit carryforwards based on enacted tax rates expected to be in effect when such amounts are paid. However, deferred tax assets are recognized only to the extent that it is more likely than not that they will be realizable based on consideration of available evidence, including future reversals of existing taxable temporary differences, projected future taxable income and tax planning strategies. Deferred tax assets are included in prepaid and other assets and deferred tax liabilities are included in accounts payable and accrued expenses on the accompanying consolidated balance sheets. The total deferred tax assets and liabilities are as follows (in thousands):</w:t>
      </w:r>
    </w:p>
    <w:p>
      <w:pPr>
        <w:spacing w:after="0" w:line="341"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As of December 31,</w:t>
            </w:r>
          </w:p>
        </w:tc>
        <w:tc>
          <w:tcPr>
            <w:tcW w:w="1040" w:type="dxa"/>
            <w:vAlign w:val="bottom"/>
            <w:tcBorders>
              <w:bottom w:val="single" w:sz="8" w:color="auto"/>
            </w:tcBorders>
          </w:tcPr>
          <w:p>
            <w:pPr>
              <w:spacing w:after="0"/>
              <w:rPr>
                <w:sz w:val="20"/>
                <w:szCs w:val="20"/>
                <w:color w:val="auto"/>
              </w:rPr>
            </w:pPr>
          </w:p>
        </w:tc>
      </w:tr>
      <w:tr>
        <w:trPr>
          <w:trHeight w:val="220"/>
        </w:trPr>
        <w:tc>
          <w:tcPr>
            <w:tcW w:w="64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0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7"/>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2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40" w:type="dxa"/>
            <w:vAlign w:val="bottom"/>
          </w:tcPr>
          <w:p>
            <w:pPr>
              <w:spacing w:after="0"/>
              <w:rPr>
                <w:sz w:val="19"/>
                <w:szCs w:val="19"/>
                <w:color w:val="auto"/>
              </w:rPr>
            </w:pPr>
          </w:p>
        </w:tc>
        <w:tc>
          <w:tcPr>
            <w:tcW w:w="6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27"/>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27"/>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7"/>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7"/>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45"/>
        </w:trPr>
        <w:tc>
          <w:tcPr>
            <w:tcW w:w="64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 Deferred tax assets, net</w:t>
            </w:r>
          </w:p>
        </w:tc>
        <w:tc>
          <w:tcPr>
            <w:tcW w:w="1020" w:type="dxa"/>
            <w:vAlign w:val="bottom"/>
            <w:tcBorders>
              <w:top w:val="single" w:sz="8" w:color="auto"/>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6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2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40" w:type="dxa"/>
            <w:vAlign w:val="bottom"/>
          </w:tcPr>
          <w:p>
            <w:pPr>
              <w:spacing w:after="0"/>
              <w:rPr>
                <w:sz w:val="19"/>
                <w:szCs w:val="19"/>
                <w:color w:val="auto"/>
              </w:rPr>
            </w:pPr>
          </w:p>
        </w:tc>
        <w:tc>
          <w:tcPr>
            <w:tcW w:w="6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r>
      <w:tr>
        <w:trPr>
          <w:trHeight w:val="227"/>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7"/>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Alternative minimum tax credit carryforwards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7"/>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7"/>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7"/>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r>
      <w:tr>
        <w:trPr>
          <w:trHeight w:val="22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 Deferred tax assets, net</w:t>
            </w:r>
          </w:p>
        </w:tc>
        <w:tc>
          <w:tcPr>
            <w:tcW w:w="102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0"/>
        </w:trPr>
        <w:tc>
          <w:tcPr>
            <w:tcW w:w="6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As of December 31, 2025, we had deferred tax assets of $9.2 million consisting of federal and state net operating loss carryforwards. The state loss carryforwards generally expire in 2031 through 2044 if not utilized by then; however, for certain states some loss carryforwards do not expire. The federal loss carryforwards do not expire.</w:t>
      </w:r>
    </w:p>
    <w:p>
      <w:pPr>
        <w:spacing w:after="0" w:line="204"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We analyze our deferred tax assets for each jurisdiction and record a valuation allowance when we deem it more likely than not that future results will not generate sufficient taxable income to realize the deferred tax assets. During the year ended December 31, 2025, we released $2.4 million of the valuation allowance on our deferred tax assets related to one of our TRSs. The release was driven primarily by improved evidence of realizability, including cumulative taxable income over the most recent three-year period, the expected reversal of certain taxable temporary differences, and forecasted future taxable income. As of December 31, 2025, we had a valuation allowance of $7.4 million on our deferred tax assets, representing the portion of deferred tax assets that we do not expect to realize on a more-likely-than-not basis. Our assessment included, among other considerations, the future reversals of existing taxable temporary differences, future taxable income that can be reasonably projected, and jurisdiction-specific limitations on the utilization of state net operating loss carryforwards.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reconciliation of the calculation of basic and diluted earnings per share (“EPS”):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common stockholders (in thousands)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76,523</w:t>
            </w:r>
          </w:p>
        </w:tc>
        <w:tc>
          <w:tcPr>
            <w:tcW w:w="0" w:type="dxa"/>
            <w:vAlign w:val="bottom"/>
          </w:tcPr>
          <w:p>
            <w:pPr>
              <w:spacing w:after="0"/>
              <w:rPr>
                <w:sz w:val="1"/>
                <w:szCs w:val="1"/>
                <w:color w:val="auto"/>
              </w:rPr>
            </w:pPr>
          </w:p>
        </w:tc>
      </w:tr>
      <w:tr>
        <w:trPr>
          <w:trHeight w:val="22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outstanding—basic</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206,226,487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210,286,342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211,518,826</w:t>
            </w:r>
          </w:p>
        </w:tc>
        <w:tc>
          <w:tcPr>
            <w:tcW w:w="0" w:type="dxa"/>
            <w:vAlign w:val="bottom"/>
          </w:tcPr>
          <w:p>
            <w:pPr>
              <w:spacing w:after="0"/>
              <w:rPr>
                <w:sz w:val="1"/>
                <w:szCs w:val="1"/>
                <w:color w:val="auto"/>
              </w:rPr>
            </w:pPr>
          </w:p>
        </w:tc>
      </w:tr>
      <w:tr>
        <w:trPr>
          <w:trHeight w:val="227"/>
        </w:trPr>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340,981</w:t>
            </w:r>
          </w:p>
        </w:tc>
        <w:tc>
          <w:tcPr>
            <w:tcW w:w="0" w:type="dxa"/>
            <w:vAlign w:val="bottom"/>
          </w:tcPr>
          <w:p>
            <w:pPr>
              <w:spacing w:after="0"/>
              <w:rPr>
                <w:sz w:val="1"/>
                <w:szCs w:val="1"/>
                <w:color w:val="auto"/>
              </w:rPr>
            </w:pPr>
          </w:p>
        </w:tc>
      </w:tr>
      <w:tr>
        <w:trPr>
          <w:trHeight w:val="227"/>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Shares related to unvested PSUs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1,816,434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801,670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444,310</w:t>
            </w:r>
          </w:p>
        </w:tc>
        <w:tc>
          <w:tcPr>
            <w:tcW w:w="0" w:type="dxa"/>
            <w:vAlign w:val="bottom"/>
          </w:tcPr>
          <w:p>
            <w:pPr>
              <w:spacing w:after="0"/>
              <w:rPr>
                <w:sz w:val="1"/>
                <w:szCs w:val="1"/>
                <w:color w:val="auto"/>
              </w:rPr>
            </w:pPr>
          </w:p>
        </w:tc>
      </w:tr>
      <w:tr>
        <w:trPr>
          <w:trHeight w:val="245"/>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outstanding—diluted</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208,264,530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211,240,170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212,304,117</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3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6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per share available to common stockholders—basic</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80" w:type="dxa"/>
            <w:vAlign w:val="bottom"/>
          </w:tcPr>
          <w:p>
            <w:pPr>
              <w:ind w:left="140"/>
              <w:spacing w:after="0" w:line="200" w:lineRule="exact"/>
              <w:rPr>
                <w:sz w:val="20"/>
                <w:szCs w:val="20"/>
                <w:color w:val="auto"/>
              </w:rPr>
            </w:pPr>
            <w:r>
              <w:rPr>
                <w:rFonts w:ascii="Times New Roman" w:cs="Times New Roman" w:eastAsia="Times New Roman" w:hAnsi="Times New Roman"/>
                <w:sz w:val="18"/>
                <w:szCs w:val="18"/>
                <w:color w:val="auto"/>
              </w:rPr>
              <w:t>Earnings per share available to common stockholders—diluted</w:t>
            </w:r>
          </w:p>
        </w:tc>
        <w:tc>
          <w:tcPr>
            <w:tcW w:w="340" w:type="dxa"/>
            <w:vAlign w:val="bottom"/>
            <w:tcBorders>
              <w:bottom w:val="single" w:sz="8" w:color="auto"/>
            </w:tcBorders>
          </w:tcPr>
          <w:p>
            <w:pPr>
              <w:jc w:val="right"/>
              <w:ind w:right="15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common OP units held by the noncontrolling interest holders have been excluded from the denominator of the basic and diluted EPS calculation as there would be no effect on the amounts since the common OP units' share of income or loss would also be added or subtracted to derive net income available to common stockholders.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Relationships with Managers and Franchisors</w:t>
      </w:r>
    </w:p>
    <w:p>
      <w:pPr>
        <w:spacing w:after="0" w:line="248"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We are party to a hotel management agreement at each of our hotels. Under our hotel management agreements, the hotel manager receives a base management fee and, if certain financial thresholds are met or exceeded, an incentive management fee. The base management fee is between 0.5% and 3.5% of gross hotel revenues for each fiscal year. The incentive management fee is generally based on hotel operating profits, but the fee only applies to that portion of hotel operating profits above a negotiated return on our invested capital, which we refer to as the owner's priority. We refer to this excess of operating profits over the owner's priority as “available cash flow.”</w:t>
      </w:r>
    </w:p>
    <w:p>
      <w:pPr>
        <w:spacing w:after="0" w:line="211"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Our management agreements generally provide us with termination rights upon a manager's failure to meet certain financial performance criteria and the manager's decision not to cure the failure by making a cure payment.</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management fees (in thousands):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73"/>
        </w:trPr>
        <w:tc>
          <w:tcPr>
            <w:tcW w:w="28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6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r>
      <w:tr>
        <w:trPr>
          <w:trHeight w:val="220"/>
        </w:trPr>
        <w:tc>
          <w:tcPr>
            <w:tcW w:w="280" w:type="dxa"/>
            <w:vAlign w:val="bottom"/>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0"/>
        </w:trPr>
        <w:tc>
          <w:tcPr>
            <w:tcW w:w="28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management fees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w:t>
            </w:r>
          </w:p>
        </w:tc>
      </w:tr>
      <w:tr>
        <w:trPr>
          <w:trHeight w:val="227"/>
        </w:trPr>
        <w:tc>
          <w:tcPr>
            <w:tcW w:w="28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Incentive management fees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r>
      <w:tr>
        <w:trPr>
          <w:trHeight w:val="227"/>
        </w:trPr>
        <w:tc>
          <w:tcPr>
            <w:tcW w:w="280" w:type="dxa"/>
            <w:vAlign w:val="bottom"/>
          </w:tcPr>
          <w:p>
            <w:pPr>
              <w:spacing w:after="0"/>
              <w:rPr>
                <w:sz w:val="19"/>
                <w:szCs w:val="19"/>
                <w:color w:val="auto"/>
              </w:rPr>
            </w:pPr>
          </w:p>
        </w:tc>
        <w:tc>
          <w:tcPr>
            <w:tcW w:w="722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Amortization of deferred income related to key money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7"/>
        </w:trPr>
        <w:tc>
          <w:tcPr>
            <w:tcW w:w="280" w:type="dxa"/>
            <w:vAlign w:val="bottom"/>
          </w:tcPr>
          <w:p>
            <w:pPr>
              <w:spacing w:after="0"/>
              <w:rPr>
                <w:sz w:val="19"/>
                <w:szCs w:val="19"/>
                <w:color w:val="auto"/>
              </w:rPr>
            </w:pPr>
          </w:p>
        </w:tc>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unfavorable contract liabilities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45"/>
        </w:trPr>
        <w:tc>
          <w:tcPr>
            <w:tcW w:w="280" w:type="dxa"/>
            <w:vAlign w:val="bottom"/>
          </w:tcPr>
          <w:p>
            <w:pPr>
              <w:spacing w:after="0"/>
              <w:rPr>
                <w:sz w:val="20"/>
                <w:szCs w:val="20"/>
                <w:color w:val="auto"/>
              </w:rPr>
            </w:pPr>
          </w:p>
        </w:tc>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management fees, net</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r>
      <w:tr>
        <w:trPr>
          <w:trHeight w:val="20"/>
        </w:trPr>
        <w:tc>
          <w:tcPr>
            <w:tcW w:w="28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5" w:lineRule="exact"/>
        <w:rPr>
          <w:sz w:val="20"/>
          <w:szCs w:val="20"/>
          <w:color w:val="auto"/>
        </w:rPr>
      </w:pPr>
    </w:p>
    <w:p>
      <w:pPr>
        <w:ind w:left="640" w:hanging="314"/>
        <w:spacing w:after="0" w:line="266" w:lineRule="auto"/>
        <w:tabs>
          <w:tab w:leader="none" w:pos="63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key money received for Chicago Marriott Downtown Magnificent Mile, Westin Washington D.C. City Center, through the date of the disposition, and Henderson Beach Resort.</w:t>
      </w:r>
    </w:p>
    <w:p>
      <w:pPr>
        <w:spacing w:after="0" w:line="200" w:lineRule="exact"/>
        <w:rPr>
          <w:sz w:val="20"/>
          <w:szCs w:val="20"/>
          <w:color w:val="auto"/>
        </w:rPr>
      </w:pPr>
    </w:p>
    <w:p>
      <w:pPr>
        <w:spacing w:after="0" w:line="266"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Sixof our hotels earned incentive management fees for the year ended December 31, 2025. Fourof our hotels earned incentive management fees for the year ended December 31, 2024. Five of our hotels earned incentive management fees for the year ended December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Agreements</w:t>
      </w:r>
    </w:p>
    <w:p>
      <w:pPr>
        <w:spacing w:after="0" w:line="250"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We are party to a franchise agreement for 19 of our hotels as of December 31, 2025. The franchise agreements require royalty fees based on a percentage of gross rooms revenue and, for certain hotels, an additional fee based on a percentage of gross food and beverage revenue. In addition, franchise agreements require fees for marketing, reservation or other program fees based on a percentage of the hotel's gross rooms revenue. Pursuant to these franchise agreements, we pay a royalty fee ranging between 3.5% and 7% of gross room sales, and, under certain agreements, between 2% and 3% of gross food and beverage sales.</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franchise fees for the years ended December 31, 2025, 2024 and 2023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720" w:type="dxa"/>
            <w:vAlign w:val="bottom"/>
            <w:tcBorders>
              <w:bottom w:val="single" w:sz="8" w:color="auto"/>
            </w:tcBorders>
          </w:tcPr>
          <w:p>
            <w:pPr>
              <w:spacing w:after="0"/>
              <w:rPr>
                <w:sz w:val="20"/>
                <w:szCs w:val="20"/>
                <w:color w:val="auto"/>
              </w:rPr>
            </w:pPr>
          </w:p>
        </w:tc>
      </w:tr>
      <w:tr>
        <w:trPr>
          <w:trHeight w:val="220"/>
        </w:trPr>
        <w:tc>
          <w:tcPr>
            <w:tcW w:w="77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fees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35,769</w:t>
            </w:r>
          </w:p>
        </w:tc>
      </w:tr>
      <w:tr>
        <w:trPr>
          <w:trHeight w:val="227"/>
        </w:trPr>
        <w:tc>
          <w:tcPr>
            <w:tcW w:w="7780" w:type="dxa"/>
            <w:vAlign w:val="bottom"/>
            <w:tcBorders>
              <w:bottom w:val="single" w:sz="8" w:color="CCEEFF"/>
            </w:tcBorders>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Amortization of deferred income related to key money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franchise fees, net</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5" w:lineRule="exact"/>
        <w:rPr>
          <w:sz w:val="20"/>
          <w:szCs w:val="20"/>
          <w:color w:val="auto"/>
        </w:rPr>
      </w:pPr>
    </w:p>
    <w:p>
      <w:pPr>
        <w:ind w:left="640" w:hanging="314"/>
        <w:spacing w:after="0"/>
        <w:tabs>
          <w:tab w:leader="none" w:pos="64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key money received for Courtyard New York Manhattan/Fifth Avenue.</w:t>
      </w:r>
    </w:p>
    <w:p>
      <w:pPr>
        <w:spacing w:after="0" w:line="254" w:lineRule="exact"/>
        <w:rPr>
          <w:rFonts w:ascii="Times New Roman" w:cs="Times New Roman" w:eastAsia="Times New Roman" w:hAnsi="Times New Roman"/>
          <w:sz w:val="14"/>
          <w:szCs w:val="14"/>
          <w:color w:val="auto"/>
        </w:rPr>
      </w:pPr>
    </w:p>
    <w:p>
      <w:pPr>
        <w:ind w:left="280" w:hanging="273"/>
        <w:spacing w:after="0"/>
        <w:tabs>
          <w:tab w:leader="none" w:pos="2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48"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have one reportable segment, hotel ownership, as discussed in Note 2. The hotel ownership segment is mostly comprised of upper upscale and luxury chain scale hotels that offer hotel rooms, food and beverage and other ancillary guest services. The Company’s chief operating decision maker (“CODM”) is the Executive Committee, which includes: 1) the Chief Executive Officer, 2) President and Chief Operating Officer, 3) Executive Vice President, Chief Financial Officer &amp; Treasurer, and 4) Senior Vice President, General Counsel &amp; Corporate Secretary.</w:t>
      </w:r>
    </w:p>
    <w:p>
      <w:pPr>
        <w:spacing w:after="0" w:line="206"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The CODM evaluates the hotel ownership segment primarily based on hotel adjusted earnings (loss) before interest income and expense, taxes and depreciation and amortization (“Hotel Adjusted EBITDA”). The CODM uses Hotel Adjusted EBITDA to evaluate the ongoing operational performance of our hotels and effectiveness of the third-party management companies operating our business on a property-level basis, in order to make informed decisions on how to allocate resources. Hotel Adjusted EBITDA is also used to monitor budget versus actual results. The monitoring of budgeted versus actual results is used in assessing performance of the segment and in establishing management’s compensation. Hotel Adjusted EBITDA, presented herein, is calculated as EBITDA from hotel operations, adjusted to exclude the following items that are not reflective of our ongoing operating performance or incurred in the normal course of business, and thus excluded from the CODM’s analysis in making day-to-day operating decisions:</w:t>
      </w:r>
    </w:p>
    <w:p>
      <w:pPr>
        <w:spacing w:after="0" w:line="211" w:lineRule="exact"/>
        <w:rPr>
          <w:sz w:val="20"/>
          <w:szCs w:val="20"/>
          <w:color w:val="auto"/>
        </w:rPr>
      </w:pPr>
    </w:p>
    <w:p>
      <w:pPr>
        <w:ind w:left="640" w:hanging="23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 and other amortization</w:t>
      </w:r>
    </w:p>
    <w:p>
      <w:pPr>
        <w:spacing w:after="0" w:line="25" w:lineRule="exact"/>
        <w:rPr>
          <w:rFonts w:ascii="Times New Roman" w:cs="Times New Roman" w:eastAsia="Times New Roman" w:hAnsi="Times New Roman"/>
          <w:sz w:val="18"/>
          <w:szCs w:val="18"/>
          <w:color w:val="auto"/>
        </w:rPr>
      </w:pPr>
    </w:p>
    <w:p>
      <w:pPr>
        <w:ind w:left="640" w:hanging="23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effect of a change in accounting principle</w:t>
      </w:r>
    </w:p>
    <w:p>
      <w:pPr>
        <w:spacing w:after="0" w:line="6" w:lineRule="exact"/>
        <w:rPr>
          <w:rFonts w:ascii="Times New Roman" w:cs="Times New Roman" w:eastAsia="Times New Roman" w:hAnsi="Times New Roman"/>
          <w:sz w:val="18"/>
          <w:szCs w:val="18"/>
          <w:color w:val="auto"/>
        </w:rPr>
      </w:pPr>
    </w:p>
    <w:p>
      <w:pPr>
        <w:ind w:left="640" w:hanging="23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from early extinguishment of debt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5" w:lineRule="exact"/>
        <w:rPr>
          <w:sz w:val="20"/>
          <w:szCs w:val="20"/>
          <w:color w:val="auto"/>
        </w:rPr>
      </w:pPr>
    </w:p>
    <w:p>
      <w:pPr>
        <w:ind w:left="640" w:hanging="23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acquisition costs</w:t>
      </w:r>
    </w:p>
    <w:p>
      <w:pPr>
        <w:spacing w:after="0" w:line="25" w:lineRule="exact"/>
        <w:rPr>
          <w:rFonts w:ascii="Times New Roman" w:cs="Times New Roman" w:eastAsia="Times New Roman" w:hAnsi="Times New Roman"/>
          <w:sz w:val="18"/>
          <w:szCs w:val="18"/>
          <w:color w:val="auto"/>
        </w:rPr>
      </w:pPr>
    </w:p>
    <w:p>
      <w:pPr>
        <w:ind w:left="640" w:hanging="23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costs</w:t>
      </w:r>
    </w:p>
    <w:p>
      <w:pPr>
        <w:spacing w:after="0" w:line="6" w:lineRule="exact"/>
        <w:rPr>
          <w:rFonts w:ascii="Times New Roman" w:cs="Times New Roman" w:eastAsia="Times New Roman" w:hAnsi="Times New Roman"/>
          <w:sz w:val="18"/>
          <w:szCs w:val="18"/>
          <w:color w:val="auto"/>
        </w:rPr>
      </w:pPr>
    </w:p>
    <w:p>
      <w:pPr>
        <w:ind w:left="640" w:hanging="23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manager transition items</w:t>
      </w:r>
    </w:p>
    <w:p>
      <w:pPr>
        <w:spacing w:after="0" w:line="6" w:lineRule="exact"/>
        <w:rPr>
          <w:rFonts w:ascii="Times New Roman" w:cs="Times New Roman" w:eastAsia="Times New Roman" w:hAnsi="Times New Roman"/>
          <w:sz w:val="18"/>
          <w:szCs w:val="18"/>
          <w:color w:val="auto"/>
        </w:rPr>
      </w:pPr>
    </w:p>
    <w:p>
      <w:pPr>
        <w:ind w:left="640" w:hanging="23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pre-opening costs</w:t>
      </w:r>
    </w:p>
    <w:p>
      <w:pPr>
        <w:spacing w:after="0" w:line="6" w:lineRule="exact"/>
        <w:rPr>
          <w:rFonts w:ascii="Times New Roman" w:cs="Times New Roman" w:eastAsia="Times New Roman" w:hAnsi="Times New Roman"/>
          <w:sz w:val="18"/>
          <w:szCs w:val="18"/>
          <w:color w:val="auto"/>
        </w:rPr>
      </w:pPr>
    </w:p>
    <w:p>
      <w:pPr>
        <w:ind w:left="640" w:hanging="23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losses, gains or losses on asset sales and casualty gains or losses; and</w:t>
      </w:r>
    </w:p>
    <w:p>
      <w:pPr>
        <w:spacing w:after="0" w:line="6" w:lineRule="exact"/>
        <w:rPr>
          <w:rFonts w:ascii="Times New Roman" w:cs="Times New Roman" w:eastAsia="Times New Roman" w:hAnsi="Times New Roman"/>
          <w:sz w:val="18"/>
          <w:szCs w:val="18"/>
          <w:color w:val="auto"/>
        </w:rPr>
      </w:pPr>
    </w:p>
    <w:p>
      <w:pPr>
        <w:ind w:left="640" w:hanging="23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that we believe are not representative of our current or future operating performance.</w:t>
      </w:r>
    </w:p>
    <w:p>
      <w:pPr>
        <w:spacing w:after="0" w:line="227" w:lineRule="exact"/>
        <w:rPr>
          <w:sz w:val="20"/>
          <w:szCs w:val="20"/>
          <w:color w:val="auto"/>
        </w:rPr>
      </w:pPr>
    </w:p>
    <w:p>
      <w:pPr>
        <w:ind w:firstLine="400"/>
        <w:spacing w:after="0" w:line="276" w:lineRule="auto"/>
        <w:rPr>
          <w:sz w:val="20"/>
          <w:szCs w:val="20"/>
          <w:color w:val="auto"/>
        </w:rPr>
      </w:pPr>
      <w:r>
        <w:rPr>
          <w:rFonts w:ascii="Times New Roman" w:cs="Times New Roman" w:eastAsia="Times New Roman" w:hAnsi="Times New Roman"/>
          <w:sz w:val="18"/>
          <w:szCs w:val="18"/>
          <w:color w:val="auto"/>
        </w:rPr>
        <w:t>The following table presents revenues for our hotel ownership segment reconciled to our consolidated amounts and Hotel Adjusted EBITDA reconciled to consolidated net income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r>
      <w:tr>
        <w:trPr>
          <w:trHeight w:val="220"/>
        </w:trPr>
        <w:tc>
          <w:tcPr>
            <w:tcW w:w="7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7"/>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Hotel ownership revenue</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1,120,491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1,074,867</w:t>
            </w:r>
          </w:p>
        </w:tc>
      </w:tr>
      <w:tr>
        <w:trPr>
          <w:trHeight w:val="220"/>
        </w:trPr>
        <w:tc>
          <w:tcPr>
            <w:tcW w:w="7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1,074,867</w:t>
            </w:r>
          </w:p>
        </w:tc>
      </w:tr>
      <w:tr>
        <w:trPr>
          <w:trHeight w:val="267"/>
        </w:trPr>
        <w:tc>
          <w:tcPr>
            <w:tcW w:w="7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Rooms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176,765</w:t>
            </w:r>
          </w:p>
        </w:tc>
      </w:tr>
      <w:tr>
        <w:trPr>
          <w:trHeight w:val="227"/>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Food and beverage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180,546</w:t>
            </w:r>
          </w:p>
        </w:tc>
      </w:tr>
      <w:tr>
        <w:trPr>
          <w:trHeight w:val="227"/>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departmental and support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261,536</w:t>
            </w:r>
          </w:p>
        </w:tc>
      </w:tr>
      <w:tr>
        <w:trPr>
          <w:trHeight w:val="227"/>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fees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26,587</w:t>
            </w:r>
          </w:p>
        </w:tc>
      </w:tr>
      <w:tr>
        <w:trPr>
          <w:trHeight w:val="227"/>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Franchise fees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35,738</w:t>
            </w:r>
          </w:p>
        </w:tc>
      </w:tr>
      <w:tr>
        <w:trPr>
          <w:trHeight w:val="227"/>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taxes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48,586</w:t>
            </w:r>
          </w:p>
        </w:tc>
      </w:tr>
      <w:tr>
        <w:trPr>
          <w:trHeight w:val="220"/>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significant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729,758</w:t>
            </w:r>
          </w:p>
        </w:tc>
      </w:tr>
      <w:tr>
        <w:trPr>
          <w:trHeight w:val="267"/>
        </w:trPr>
        <w:tc>
          <w:tcPr>
            <w:tcW w:w="7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734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Other hotel expenses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43,953</w:t>
            </w:r>
          </w:p>
        </w:tc>
      </w:tr>
      <w:tr>
        <w:trPr>
          <w:trHeight w:val="267"/>
        </w:trPr>
        <w:tc>
          <w:tcPr>
            <w:tcW w:w="73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r>
      <w:tr>
        <w:trPr>
          <w:trHeight w:val="22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Hotel adjusted EBITDA</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301,156</w:t>
            </w:r>
          </w:p>
        </w:tc>
      </w:tr>
      <w:tr>
        <w:trPr>
          <w:trHeight w:val="247"/>
        </w:trPr>
        <w:tc>
          <w:tcPr>
            <w:tcW w:w="7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7"/>
        </w:trPr>
        <w:tc>
          <w:tcPr>
            <w:tcW w:w="7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Non-cash lease expense and other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r>
      <w:tr>
        <w:trPr>
          <w:trHeight w:val="227"/>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Hotel pre-opening and manager transition items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7"/>
        </w:trPr>
        <w:tc>
          <w:tcPr>
            <w:tcW w:w="7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Impairment losses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27"/>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111,302</w:t>
            </w:r>
          </w:p>
        </w:tc>
      </w:tr>
      <w:tr>
        <w:trPr>
          <w:trHeight w:val="227"/>
        </w:trPr>
        <w:tc>
          <w:tcPr>
            <w:tcW w:w="7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32,048</w:t>
            </w:r>
          </w:p>
        </w:tc>
      </w:tr>
      <w:tr>
        <w:trPr>
          <w:trHeight w:val="227"/>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65,072</w:t>
            </w:r>
          </w:p>
        </w:tc>
      </w:tr>
      <w:tr>
        <w:trPr>
          <w:trHeight w:val="227"/>
        </w:trPr>
        <w:tc>
          <w:tcPr>
            <w:tcW w:w="7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227"/>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7"/>
        </w:trPr>
        <w:tc>
          <w:tcPr>
            <w:tcW w:w="73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45"/>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5" w:lineRule="exact"/>
        <w:rPr>
          <w:sz w:val="20"/>
          <w:szCs w:val="20"/>
          <w:color w:val="auto"/>
        </w:rPr>
      </w:pPr>
    </w:p>
    <w:p>
      <w:pPr>
        <w:ind w:left="640" w:hanging="314"/>
        <w:spacing w:after="0"/>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hotel expenses is principally comprised of cash payments for leases and property insurance.</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total assets for our hotel ownership segment, reconciled to total consolidated assets (in thousands):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6"/>
              </w:rPr>
              <w:t>Table of Contents</w:t>
            </w:r>
          </w:p>
        </w:tc>
        <w:tc>
          <w:tcPr>
            <w:tcW w:w="5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580"/>
        </w:trPr>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0"/>
        </w:trPr>
        <w:tc>
          <w:tcPr>
            <w:tcW w:w="8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80" w:type="dxa"/>
            <w:vAlign w:val="bottom"/>
          </w:tcPr>
          <w:p>
            <w:pPr>
              <w:spacing w:after="0"/>
              <w:rPr>
                <w:sz w:val="19"/>
                <w:szCs w:val="19"/>
                <w:color w:val="auto"/>
              </w:rPr>
            </w:pP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ownership</w:t>
            </w:r>
          </w:p>
        </w:tc>
        <w:tc>
          <w:tcPr>
            <w:tcW w:w="59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2,908,811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3,063,835</w:t>
            </w:r>
          </w:p>
        </w:tc>
      </w:tr>
      <w:tr>
        <w:trPr>
          <w:trHeight w:val="227"/>
        </w:trPr>
        <w:tc>
          <w:tcPr>
            <w:tcW w:w="80" w:type="dxa"/>
            <w:vAlign w:val="bottom"/>
          </w:tcPr>
          <w:p>
            <w:pPr>
              <w:spacing w:after="0"/>
              <w:rPr>
                <w:sz w:val="19"/>
                <w:szCs w:val="19"/>
                <w:color w:val="auto"/>
              </w:rPr>
            </w:pPr>
          </w:p>
        </w:tc>
        <w:tc>
          <w:tcPr>
            <w:tcW w:w="1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59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108,416</w:t>
            </w:r>
          </w:p>
        </w:tc>
      </w:tr>
      <w:tr>
        <w:trPr>
          <w:trHeight w:val="245"/>
        </w:trPr>
        <w:tc>
          <w:tcPr>
            <w:tcW w:w="80" w:type="dxa"/>
            <w:vAlign w:val="bottom"/>
          </w:tcPr>
          <w:p>
            <w:pPr>
              <w:spacing w:after="0"/>
              <w:rPr>
                <w:sz w:val="20"/>
                <w:szCs w:val="20"/>
                <w:color w:val="auto"/>
              </w:rPr>
            </w:pPr>
          </w:p>
        </w:tc>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59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3,003,701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3,172,251</w:t>
            </w:r>
          </w:p>
        </w:tc>
      </w:tr>
      <w:tr>
        <w:trPr>
          <w:trHeight w:val="20"/>
        </w:trPr>
        <w:tc>
          <w:tcPr>
            <w:tcW w:w="8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18"/>
          <w:szCs w:val="18"/>
          <w:color w:val="auto"/>
        </w:rPr>
        <w:t>Total capital expenditures related to our hotel ownership segment were $81.6 million, $81.6 million and $86.3 million for the years ended December 31, 2025, 2024 and 2023,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0"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7"/>
          <w:szCs w:val="17"/>
          <w:color w:val="auto"/>
        </w:rPr>
        <w:t>We are subject to various claims, lawsuits and legal proceedings, including routine litigation arising in the ordinary course of business, regarding the operation of our hotels and Company matters. While it is not possible to ascertain the ultimate outcome of such matters, management believes that the aggregate amount of such liabilities, if any, in excess of amounts covered by insurance, will not have a material adverse impact on our financial condition or results of operations. The outcome of claims, lawsuits and legal proceedings brought against the Company, however, is subject to significant uncertainties.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DiamondRock Hospitality Company</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Schedule III - Real Estate and Accumulated Depreciation</w:t>
      </w:r>
    </w:p>
    <w:p>
      <w:pPr>
        <w:spacing w:after="0" w:line="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As of December 31, 2025 (in thousands)</w:t>
      </w:r>
    </w:p>
    <w:p>
      <w:pPr>
        <w:spacing w:after="0" w:line="35"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1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Costs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80" w:type="dxa"/>
            <w:vAlign w:val="bottom"/>
          </w:tcPr>
          <w:p>
            <w:pPr>
              <w:spacing w:after="0"/>
              <w:rPr>
                <w:sz w:val="16"/>
                <w:szCs w:val="16"/>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Capitalized</w:t>
            </w: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Gross Amount at End of Year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Building and</w:t>
            </w:r>
          </w:p>
        </w:tc>
        <w:tc>
          <w:tcPr>
            <w:tcW w:w="860" w:type="dxa"/>
            <w:vAlign w:val="bottom"/>
            <w:gridSpan w:val="3"/>
          </w:tcPr>
          <w:p>
            <w:pPr>
              <w:jc w:val="center"/>
              <w:ind w:right="80"/>
              <w:spacing w:after="0" w:line="120" w:lineRule="exact"/>
              <w:rPr>
                <w:sz w:val="20"/>
                <w:szCs w:val="20"/>
                <w:color w:val="auto"/>
              </w:rPr>
            </w:pPr>
            <w:r>
              <w:rPr>
                <w:rFonts w:ascii="Times New Roman" w:cs="Times New Roman" w:eastAsia="Times New Roman" w:hAnsi="Times New Roman"/>
                <w:sz w:val="13"/>
                <w:szCs w:val="13"/>
                <w:b w:val="1"/>
                <w:bCs w:val="1"/>
                <w:color w:val="auto"/>
              </w:rPr>
              <w:t>Subsequent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Building and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6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6"/>
              </w:rPr>
              <w:t>Net Book</w:t>
            </w:r>
          </w:p>
        </w:tc>
        <w:tc>
          <w:tcPr>
            <w:tcW w:w="82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Year of</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0" w:type="dxa"/>
            <w:vAlign w:val="bottom"/>
          </w:tcPr>
          <w:p>
            <w:pPr>
              <w:spacing w:after="0"/>
              <w:rPr>
                <w:sz w:val="1"/>
                <w:szCs w:val="1"/>
                <w:color w:val="auto"/>
              </w:rPr>
            </w:pPr>
          </w:p>
        </w:tc>
      </w:tr>
      <w:tr>
        <w:trPr>
          <w:trHeight w:val="175"/>
        </w:trPr>
        <w:tc>
          <w:tcPr>
            <w:tcW w:w="1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to</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7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Encumbrances</w:t>
            </w:r>
          </w:p>
        </w:tc>
        <w:tc>
          <w:tcPr>
            <w:tcW w:w="8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Land</w:t>
            </w: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0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Land</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0" w:type="dxa"/>
            <w:vAlign w:val="bottom"/>
          </w:tcPr>
          <w:p>
            <w:pPr>
              <w:spacing w:after="0"/>
              <w:rPr>
                <w:sz w:val="16"/>
                <w:szCs w:val="16"/>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Life</w:t>
            </w: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AC Hotel Minneapolis</w:t>
            </w: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4,141</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24,549</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4,141</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24,605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28,746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28,021</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Downtown</w:t>
            </w:r>
          </w:p>
        </w:tc>
        <w:tc>
          <w:tcPr>
            <w:tcW w:w="380" w:type="dxa"/>
            <w:vAlign w:val="bottom"/>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Atlanta Marriott Alpharetta</w:t>
            </w:r>
          </w:p>
        </w:tc>
        <w:tc>
          <w:tcPr>
            <w:tcW w:w="3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3,623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33,503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24,515</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9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Bourbon Orleans Hotel</w:t>
            </w: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20,644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60,969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68,278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88,923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34"/>
        </w:trPr>
        <w:tc>
          <w:tcPr>
            <w:tcW w:w="174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Cavallo Point, The Lodge at</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123,100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134,224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134,224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(31,894)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102,330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7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Golden Gate</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Chicago Marriott Downtown</w:t>
            </w:r>
          </w:p>
        </w:tc>
        <w:tc>
          <w:tcPr>
            <w:tcW w:w="3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36,900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449,901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486,801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286,689</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Magnificent Mile</w:t>
            </w:r>
          </w:p>
        </w:tc>
        <w:tc>
          <w:tcPr>
            <w:tcW w:w="3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74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Chico Hot Springs Resort &amp;</w:t>
            </w:r>
          </w:p>
        </w:tc>
        <w:tc>
          <w:tcPr>
            <w:tcW w:w="380" w:type="dxa"/>
            <w:vAlign w:val="bottom"/>
          </w:tcPr>
          <w:p>
            <w:pPr>
              <w:spacing w:after="0"/>
              <w:rPr>
                <w:sz w:val="11"/>
                <w:szCs w:val="11"/>
                <w:color w:val="auto"/>
              </w:rPr>
            </w:pPr>
          </w:p>
        </w:tc>
        <w:tc>
          <w:tcPr>
            <w:tcW w:w="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11,291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20,595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11,291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22,460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33,751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31,036</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10 - 20 Years</w:t>
            </w:r>
          </w:p>
        </w:tc>
        <w:tc>
          <w:tcPr>
            <w:tcW w:w="0" w:type="dxa"/>
            <w:vAlign w:val="bottom"/>
          </w:tcPr>
          <w:p>
            <w:pPr>
              <w:spacing w:after="0"/>
              <w:rPr>
                <w:sz w:val="1"/>
                <w:szCs w:val="1"/>
                <w:color w:val="auto"/>
              </w:rPr>
            </w:pPr>
          </w:p>
        </w:tc>
      </w:tr>
      <w:tr>
        <w:trPr>
          <w:trHeight w:val="17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Day Spa</w:t>
            </w: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Embassy Suites by Hilton</w:t>
            </w:r>
          </w:p>
        </w:tc>
        <w:tc>
          <w:tcPr>
            <w:tcW w:w="3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45,656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56,497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29,672</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Bethesda</w:t>
            </w:r>
          </w:p>
        </w:tc>
        <w:tc>
          <w:tcPr>
            <w:tcW w:w="3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The Gwen Hotel</w:t>
            </w:r>
          </w:p>
        </w:tc>
        <w:tc>
          <w:tcPr>
            <w:tcW w:w="3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31,650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76,961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134,191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(43,036)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91,155</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9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Courtyard Denver Downtown</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9,400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36,180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53,116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37,272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34"/>
        </w:trPr>
        <w:tc>
          <w:tcPr>
            <w:tcW w:w="174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Courtyard New York</w:t>
            </w:r>
          </w:p>
        </w:tc>
        <w:tc>
          <w:tcPr>
            <w:tcW w:w="380" w:type="dxa"/>
            <w:vAlign w:val="bottom"/>
          </w:tcPr>
          <w:p>
            <w:pPr>
              <w:spacing w:after="0"/>
              <w:rPr>
                <w:sz w:val="11"/>
                <w:szCs w:val="11"/>
                <w:color w:val="auto"/>
              </w:rPr>
            </w:pPr>
          </w:p>
        </w:tc>
        <w:tc>
          <w:tcPr>
            <w:tcW w:w="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34,685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10,298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44,983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44,983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(21,341)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23,642</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7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Manhattan/Fifth Avenue</w:t>
            </w: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Courtyard New York</w:t>
            </w:r>
          </w:p>
        </w:tc>
        <w:tc>
          <w:tcPr>
            <w:tcW w:w="3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54,812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52,143</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Manhattan/Midtown East</w:t>
            </w:r>
          </w:p>
        </w:tc>
        <w:tc>
          <w:tcPr>
            <w:tcW w:w="3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Havana Cabana Key West</w:t>
            </w:r>
          </w:p>
        </w:tc>
        <w:tc>
          <w:tcPr>
            <w:tcW w:w="3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32,888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49,077</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9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Henderson Beach Resort</w:t>
            </w: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10,118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93,176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110,308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100,040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Henderson Park Inn</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8,395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28,383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25,862</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9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Hotel Champlain Burlington</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9,197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40,644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59,571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68,768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52,259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34"/>
        </w:trPr>
        <w:tc>
          <w:tcPr>
            <w:tcW w:w="174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Hilton Garden Inn New</w:t>
            </w:r>
          </w:p>
        </w:tc>
        <w:tc>
          <w:tcPr>
            <w:tcW w:w="380" w:type="dxa"/>
            <w:vAlign w:val="bottom"/>
          </w:tcPr>
          <w:p>
            <w:pPr>
              <w:spacing w:after="0"/>
              <w:rPr>
                <w:sz w:val="11"/>
                <w:szCs w:val="11"/>
                <w:color w:val="auto"/>
              </w:rPr>
            </w:pPr>
          </w:p>
        </w:tc>
        <w:tc>
          <w:tcPr>
            <w:tcW w:w="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60,300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88,896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6,527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60,300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95,423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155,723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(26,181)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129,542</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7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York/Times Square Central</w:t>
            </w: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Hotel Clio</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9,200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63,183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88,395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Hotel Emblem San Francisco</w:t>
            </w:r>
          </w:p>
        </w:tc>
        <w:tc>
          <w:tcPr>
            <w:tcW w:w="3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7,856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21,085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29,525</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9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Hotel Palomar Phoenix</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64,158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52,060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The Hythe Vail</w:t>
            </w:r>
          </w:p>
        </w:tc>
        <w:tc>
          <w:tcPr>
            <w:tcW w:w="3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5,800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52,463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97,376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(34,329)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63,047</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Kimpton Shorebreak Fort</w:t>
            </w:r>
          </w:p>
        </w:tc>
        <w:tc>
          <w:tcPr>
            <w:tcW w:w="3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3,436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34,142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31,182</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Lauderdale Beach Resort</w:t>
            </w:r>
          </w:p>
        </w:tc>
        <w:tc>
          <w:tcPr>
            <w:tcW w:w="3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74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Kimpton Shorebreak</w:t>
            </w:r>
          </w:p>
        </w:tc>
        <w:tc>
          <w:tcPr>
            <w:tcW w:w="380" w:type="dxa"/>
            <w:vAlign w:val="bottom"/>
          </w:tcPr>
          <w:p>
            <w:pPr>
              <w:spacing w:after="0"/>
              <w:rPr>
                <w:sz w:val="11"/>
                <w:szCs w:val="11"/>
                <w:color w:val="auto"/>
              </w:rPr>
            </w:pPr>
          </w:p>
        </w:tc>
        <w:tc>
          <w:tcPr>
            <w:tcW w:w="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19,908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37,525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20,423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42,733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63,156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(11,682)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51,474</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7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Huntington Beach Resort</w:t>
            </w: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Margaritaville Beach House</w:t>
            </w:r>
          </w:p>
        </w:tc>
        <w:tc>
          <w:tcPr>
            <w:tcW w:w="3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49,592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42,958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49,592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111,840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97,222</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Key West</w:t>
            </w:r>
          </w:p>
        </w:tc>
        <w:tc>
          <w:tcPr>
            <w:tcW w:w="3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Lake Austin Spa Resort</w:t>
            </w:r>
          </w:p>
        </w:tc>
        <w:tc>
          <w:tcPr>
            <w:tcW w:w="3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25,089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43,879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25,089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70,083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65,816</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The Landing Lake Tahoe</w:t>
            </w:r>
          </w:p>
        </w:tc>
        <w:tc>
          <w:tcPr>
            <w:tcW w:w="3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14,816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24,351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27,784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37,153</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Resort &amp; Spa</w:t>
            </w:r>
          </w:p>
        </w:tc>
        <w:tc>
          <w:tcPr>
            <w:tcW w:w="3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L'Auberge de Sedona</w:t>
            </w:r>
          </w:p>
        </w:tc>
        <w:tc>
          <w:tcPr>
            <w:tcW w:w="3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49,110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32,384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118,794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108,587</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Salt Lake City Marriott</w:t>
            </w:r>
          </w:p>
        </w:tc>
        <w:tc>
          <w:tcPr>
            <w:tcW w:w="3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45,815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(29,068)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41,532</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Downtown at City Creek</w:t>
            </w:r>
          </w:p>
        </w:tc>
        <w:tc>
          <w:tcPr>
            <w:tcW w:w="3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The Dagny Boston</w:t>
            </w:r>
          </w:p>
        </w:tc>
        <w:tc>
          <w:tcPr>
            <w:tcW w:w="3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23,262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148,364</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The Lindy Renaissance</w:t>
            </w:r>
          </w:p>
        </w:tc>
        <w:tc>
          <w:tcPr>
            <w:tcW w:w="3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5,900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35,419</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Charleston Hotel</w:t>
            </w:r>
          </w:p>
        </w:tc>
        <w:tc>
          <w:tcPr>
            <w:tcW w:w="3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The Lodge at Sonoma Resort</w:t>
            </w:r>
          </w:p>
        </w:tc>
        <w:tc>
          <w:tcPr>
            <w:tcW w:w="3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3,951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44,346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29,980</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Tranquility Bay Beachfront</w:t>
            </w:r>
          </w:p>
        </w:tc>
        <w:tc>
          <w:tcPr>
            <w:tcW w:w="3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1,865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19,357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Resort</w:t>
            </w:r>
          </w:p>
        </w:tc>
        <w:tc>
          <w:tcPr>
            <w:tcW w:w="3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74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Westin Boston Seaport</w:t>
            </w:r>
          </w:p>
        </w:tc>
        <w:tc>
          <w:tcPr>
            <w:tcW w:w="380" w:type="dxa"/>
            <w:vAlign w:val="bottom"/>
          </w:tcPr>
          <w:p>
            <w:pPr>
              <w:spacing w:after="0"/>
              <w:rPr>
                <w:sz w:val="11"/>
                <w:szCs w:val="11"/>
                <w:color w:val="auto"/>
              </w:rPr>
            </w:pPr>
          </w:p>
        </w:tc>
        <w:tc>
          <w:tcPr>
            <w:tcW w:w="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273,696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40,024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313,721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313,721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(143,064)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170,657</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7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District</w:t>
            </w: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Westin Fort Lauderdale Beach</w:t>
            </w:r>
          </w:p>
        </w:tc>
        <w:tc>
          <w:tcPr>
            <w:tcW w:w="3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54,293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83,227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54,293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159,140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131,846</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Resort</w:t>
            </w:r>
          </w:p>
        </w:tc>
        <w:tc>
          <w:tcPr>
            <w:tcW w:w="3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Westin San Diego Bayview</w:t>
            </w:r>
          </w:p>
        </w:tc>
        <w:tc>
          <w:tcPr>
            <w:tcW w:w="3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22,902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103,659</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Worthington Renaissance Fort</w:t>
            </w:r>
          </w:p>
        </w:tc>
        <w:tc>
          <w:tcPr>
            <w:tcW w:w="3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15,500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63,428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36,515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115,443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76,273</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10 - 40 Years</w:t>
            </w:r>
          </w:p>
        </w:tc>
        <w:tc>
          <w:tcPr>
            <w:tcW w:w="0" w:type="dxa"/>
            <w:vAlign w:val="bottom"/>
          </w:tcPr>
          <w:p>
            <w:pPr>
              <w:spacing w:after="0"/>
              <w:rPr>
                <w:sz w:val="1"/>
                <w:szCs w:val="1"/>
                <w:color w:val="auto"/>
              </w:rPr>
            </w:pPr>
          </w:p>
        </w:tc>
      </w:tr>
      <w:tr>
        <w:trPr>
          <w:trHeight w:val="17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Worth Hotel</w:t>
            </w:r>
          </w:p>
        </w:tc>
        <w:tc>
          <w:tcPr>
            <w:tcW w:w="3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9"/>
              </w:rPr>
              <w:t>567,527</w:t>
            </w:r>
          </w:p>
        </w:tc>
        <w:tc>
          <w:tcPr>
            <w:tcW w:w="8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2,284,216</w:t>
            </w:r>
          </w:p>
        </w:tc>
        <w:tc>
          <w:tcPr>
            <w:tcW w:w="8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598,277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570,386</w:t>
            </w:r>
          </w:p>
        </w:tc>
        <w:tc>
          <w:tcPr>
            <w:tcW w:w="8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2,879,636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3,450,022</w:t>
            </w:r>
          </w:p>
        </w:tc>
        <w:tc>
          <w:tcPr>
            <w:tcW w:w="8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(949,192)</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2,500,830</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60"/>
          </w:cols>
          <w:pgMar w:left="320" w:top="359" w:right="5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48" w:lineRule="exact"/>
        <w:rPr>
          <w:sz w:val="20"/>
          <w:szCs w:val="20"/>
          <w:color w:val="auto"/>
        </w:rPr>
      </w:pPr>
    </w:p>
    <w:p>
      <w:pPr>
        <w:ind w:left="240" w:hanging="233"/>
        <w:spacing w:after="0"/>
        <w:tabs>
          <w:tab w:leader="none" w:pos="2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 in total cost of properties for the fiscal years ended December 31, 2025, 2024 and 2023 is as follows (in thousands):</w:t>
      </w:r>
    </w:p>
    <w:p>
      <w:pPr>
        <w:spacing w:after="0" w:line="145" w:lineRule="exact"/>
        <w:rPr>
          <w:sz w:val="20"/>
          <w:szCs w:val="20"/>
          <w:color w:val="auto"/>
        </w:rPr>
      </w:pPr>
    </w:p>
    <w:tbl>
      <w:tblPr>
        <w:tblLayout w:type="fixed"/>
        <w:tblInd w:w="1560" w:type="dxa"/>
        <w:tblCellMar>
          <w:top w:w="0" w:type="dxa"/>
          <w:left w:w="0" w:type="dxa"/>
          <w:bottom w:w="0" w:type="dxa"/>
          <w:right w:w="0" w:type="dxa"/>
        </w:tblCellMar>
      </w:tblP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0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3,384,509</w:t>
            </w:r>
          </w:p>
        </w:tc>
      </w:tr>
      <w:tr>
        <w:trPr>
          <w:trHeight w:val="22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7"/>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31,886</w:t>
            </w:r>
          </w:p>
        </w:tc>
      </w:tr>
      <w:tr>
        <w:trPr>
          <w:trHeight w:val="227"/>
        </w:trPr>
        <w:tc>
          <w:tcPr>
            <w:tcW w:w="6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60,931</w:t>
            </w:r>
          </w:p>
        </w:tc>
      </w:tr>
      <w:tr>
        <w:trPr>
          <w:trHeight w:val="24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3,477,326</w:t>
            </w:r>
          </w:p>
        </w:tc>
      </w:tr>
      <w:tr>
        <w:trPr>
          <w:trHeight w:val="22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7"/>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28,690</w:t>
            </w:r>
          </w:p>
        </w:tc>
      </w:tr>
      <w:tr>
        <w:trPr>
          <w:trHeight w:val="227"/>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60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50,846</w:t>
            </w:r>
          </w:p>
        </w:tc>
      </w:t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losses</w:t>
            </w: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(43,920)</w:t>
            </w:r>
          </w:p>
        </w:tc>
      </w:tr>
      <w:tr>
        <w:trPr>
          <w:trHeight w:val="227"/>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Dispositions and other</w:t>
            </w:r>
          </w:p>
        </w:tc>
        <w:tc>
          <w:tcPr>
            <w:tcW w:w="6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w:t>
            </w:r>
          </w:p>
        </w:tc>
      </w:tr>
      <w:tr>
        <w:trPr>
          <w:trHeight w:val="22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0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3,505,938</w:t>
            </w:r>
          </w:p>
        </w:tc>
      </w:t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60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64,601</w:t>
            </w:r>
          </w:p>
        </w:tc>
      </w:t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6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Dispositions and other</w:t>
            </w: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(120,517)</w:t>
            </w:r>
          </w:p>
        </w:tc>
      </w:tr>
      <w:tr>
        <w:trPr>
          <w:trHeight w:val="24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3,450,022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ind w:left="220" w:hanging="213"/>
        <w:spacing w:after="0"/>
        <w:tabs>
          <w:tab w:leader="none" w:pos="22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change in accumulated depreciation of real estate assets for the fiscal years ended December 31, 2025, 2024 and 2023 is as follows (in thousands):</w:t>
      </w:r>
    </w:p>
    <w:p>
      <w:pPr>
        <w:spacing w:after="0" w:line="63" w:lineRule="exact"/>
        <w:rPr>
          <w:sz w:val="20"/>
          <w:szCs w:val="20"/>
          <w:color w:val="auto"/>
        </w:rPr>
      </w:pPr>
    </w:p>
    <w:tbl>
      <w:tblPr>
        <w:tblLayout w:type="fixed"/>
        <w:tblInd w:w="1560" w:type="dxa"/>
        <w:tblCellMar>
          <w:top w:w="0" w:type="dxa"/>
          <w:left w:w="0" w:type="dxa"/>
          <w:bottom w:w="0" w:type="dxa"/>
          <w:right w:w="0" w:type="dxa"/>
        </w:tblCellMar>
      </w:tblP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768,634</w:t>
            </w:r>
          </w:p>
        </w:tc>
      </w:tr>
      <w:tr>
        <w:trPr>
          <w:trHeight w:val="227"/>
        </w:trPr>
        <w:tc>
          <w:tcPr>
            <w:tcW w:w="6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72,666</w:t>
            </w:r>
          </w:p>
        </w:tc>
      </w:tr>
      <w:tr>
        <w:trPr>
          <w:trHeight w:val="22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841,300</w:t>
            </w:r>
          </w:p>
        </w:tc>
      </w:tr>
      <w:tr>
        <w:trPr>
          <w:trHeight w:val="227"/>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77,018</w:t>
            </w:r>
          </w:p>
        </w:tc>
      </w:tr>
      <w:tr>
        <w:trPr>
          <w:trHeight w:val="227"/>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losses</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r>
      <w:tr>
        <w:trPr>
          <w:trHeight w:val="227"/>
        </w:trPr>
        <w:tc>
          <w:tcPr>
            <w:tcW w:w="6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Dispositions and other</w:t>
            </w: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(7,004)</w:t>
            </w:r>
          </w:p>
        </w:tc>
      </w:tr>
      <w:tr>
        <w:trPr>
          <w:trHeight w:val="22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899,967</w:t>
            </w:r>
          </w:p>
        </w:tc>
      </w:tr>
      <w:tr>
        <w:trPr>
          <w:trHeight w:val="227"/>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80,849</w:t>
            </w:r>
          </w:p>
        </w:tc>
      </w:tr>
      <w:tr>
        <w:trPr>
          <w:trHeight w:val="227"/>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Dispositions and other</w:t>
            </w:r>
          </w:p>
        </w:tc>
        <w:tc>
          <w:tcPr>
            <w:tcW w:w="6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(31,624)</w:t>
            </w:r>
          </w:p>
        </w:tc>
      </w:tr>
      <w:tr>
        <w:trPr>
          <w:trHeight w:val="22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6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949,192</w:t>
            </w:r>
          </w:p>
        </w:tc>
      </w:tr>
      <w:tr>
        <w:trPr>
          <w:trHeight w:val="20"/>
        </w:trPr>
        <w:tc>
          <w:tcPr>
            <w:tcW w:w="6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5460" w:right="740" w:hanging="5453"/>
        <w:spacing w:after="0" w:line="910" w:lineRule="auto"/>
        <w:tabs>
          <w:tab w:leader="none" w:pos="24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cost of properties for U.S. Federal income tax purposes (in thousands) is approximately $3,343,719 as of December 31, 2025. F-37</w:t>
      </w:r>
    </w:p>
    <w:p>
      <w:pPr>
        <w:sectPr>
          <w:pgSz w:w="11900" w:h="16838" w:orient="portrait"/>
          <w:cols w:equalWidth="0" w:num="1">
            <w:col w:w="10960"/>
          </w:cols>
          <w:pgMar w:left="320" w:top="359" w:right="6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 as amended</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common stock, par value $0.01 per share ("Common Stock") of DiamondRock Hospitality Company ("DiamondRock," "we," or "our") are registered under Section 12 of the Securities Exchange Act of 1934, as amended (the "Exchange Act"). The following description sets forth certain general terms and provisions of our Common Stock. These descriptions are in all respects subject to and qualified in their entirety by, and should be read in conjunction with, the applicable provisions of our Articles of Amendment and Restatement, as further amended, corrected and supplemented (our "Articles") and our Fifth Amended and Restated Bylaws (our "Bylaws"), each of which is incorporated herein by reference and copies of which are incorporated by reference as exhibits to our most recent Annual Report on Form 10-K filed with the Securities and Exchange Commission, and the applicable provisions of the Maryland General Corporation Law (the "MGCL").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Subject to the provisions of our Articles regarding the restrictions on ownership and transfer of stock and to the power of our board of directors to create Common Stock with differing voting rights, each share of our Common Stock will have equal dividend, liquidation and other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Our board of directors may authorize, declare and pay dividends on our Common Stock out of assets legally available therefor, subject to the preferential rights of any other class or series of stock and to the provisions of our Articles regarding the restrictions on ownership and transfer of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provisions of our Articles regarding the restrictions on ownership and transfer of stock, each outstanding share of our Common Stock entitles its holder to one vote on all matters submitted to a vote of stockholders, including the election of directors and, except as provided with respect to any other class or series of stock, the holders of such shares will possess the exclusive voting power.</w:t>
      </w:r>
    </w:p>
    <w:p>
      <w:pPr>
        <w:spacing w:after="0" w:line="2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See "Description of Certain Material Provisions of Maryland Law, Our Articles and Our Bylaws—Number, Election and Removal of Directors" below for more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Liquidation</w:t>
      </w:r>
    </w:p>
    <w:p>
      <w:pPr>
        <w:spacing w:after="0" w:line="2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and after payment of or adequate provision for all of our known debts and liabilities, holders of our Common Stock are entitled to share ratably in the assets of our company legally available for distribution to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has no preference, conversion, exchange or redemption rights, is not subject to any sinking fund, and generally has no appraisal rights. Holders of our Common Stock have no preemptive rights, which means that ownership of our Common Stock does not confer the right to acquire any additional securities that we may issue at a subsequent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Ownership and Transfer</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assist us in complying with certain U.S. federal income tax requirements applicable to real estate investment trusts ("REITs"), among other purposes, we have adopted certain restrictions relating to the ownership and transfer of our Common Stock. For more information, see the section entitled "Restrictions on Ownership and Transfer."</w:t>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Common Stock are listed on the The Nasdaq Stock Market LLC (the "Nasdaq") under the symbol "DRH".</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to Preferred Stock and Other Classes of Common Stock</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board of directors may authorize the issuance of up to 10,000,000 shares of preferred stock, par value $0.01 per share ("Preferred Stock"), from time to time, in one or more classes or series. Our Articles authorize our board of directors to classify any unissued shares of Preferred Stock and to reclassify any previously classified but unissued shares of Preferred Stock into other classes or series of stock. Prior to the issuance of shares of each class or series of Preferred Stock, our board of directors is required by the MGCL and our Articles to set, subject to the provisions of our Articles regarding the restrictions on ownership and transfer of stock, the terms, preferences, conversion or other rights, voting powers, restrictions, limitations as to dividends or other distributions, qualifications and terms and conditions of redemption for each such class or series. The issuance of Preferred Stock could have the effect of restricting dividends on the Common Stock, diluting the voting power of the Common Stock, impairing the liquidation rights of the Common Stock or delaying, deterring or preventing a change in control. For further information, see the section entitled "Description of Certain Material Provisions of Maryland Law, Our Articles and Our Bylaws—Power to Increase Authorized Stock and Issue Additional Shares of Our Common Stock and Preferred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2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order for us to qualify for and maintain our status as a REIT under the Internal Revenue Code of 1986, as amended (the "Code"), our shares of stock must be beneficially owned by 100 or more persons during at least 335 days of a taxable year of twelve months or during a proportionate part of a shorter taxable year. Also, not more than 50% of the value of the outstanding shares of stock may be owned, directly or indirectly, by five or fewer individuals (as defined in the Code to include certain entities such as private foundations) during the last half of a taxable year.</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order for us to qualify as a REIT under the Code, among other purposes, our Articles, subject to certain exceptions, contain restrictions on the number of shares of our capital stock that a person may beneficially own. Our Articles provide that, subject to some exceptions, no person may beneficially own, or be deemed to own by virtue of the attribution provisions of the Code, more than 9.8% (in value or in number of shares, whichever is more restrictive) of the aggregate outstanding shares of our Common Stock or more than 9.8% of the value of the aggregate outstanding shares of our capital stock (the "Ownership Limit"), except that certain "look through entities," such as mutual funds, may beneficially own up to 15% (in value or in number of shares, whichever is more restrictive) of the aggregate outstanding shares of our Common Stock or up to 15% of the value of the aggregate outstanding shares of our capital stock (the "Look-Through Ownership Limit"). Our board of directors has waived this ownership limitation for certain investors in the past. Our Bylaws provide that our board of directors will exempt any person from the Ownership Limit and the Look-Through Ownership Limit, provided that:</w:t>
      </w:r>
    </w:p>
    <w:p>
      <w:pPr>
        <w:spacing w:after="0" w:line="214" w:lineRule="exact"/>
        <w:rPr>
          <w:sz w:val="20"/>
          <w:szCs w:val="20"/>
          <w:color w:val="auto"/>
        </w:rPr>
      </w:pPr>
    </w:p>
    <w:p>
      <w:pPr>
        <w:jc w:val="both"/>
        <w:ind w:left="640" w:hanging="314"/>
        <w:spacing w:after="0" w:line="276" w:lineRule="auto"/>
        <w:tabs>
          <w:tab w:leader="none" w:pos="63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 shall not beneficially own shares of capital stock that would cause an "individual" (within the meaning of Section 542(a)(2) of the Code, but not including a "qualified trust" (as defined in Code Section 856(h)(3)(E)) subject to the look-through rule of Code Section 856(h)(3)(A)(i)) to beneficially own (i) shares of capital stock in excess of 9.8% in value of the aggregate of the outstanding shares of our stock or (ii) in excess of 9.8% (in value or in number of shares, whichever is more restrictive) of the aggregate of the outstanding shares of our Common Stock;</w:t>
      </w:r>
    </w:p>
    <w:p>
      <w:pPr>
        <w:sectPr>
          <w:pgSz w:w="11900" w:h="16838" w:orient="portrait"/>
          <w:cols w:equalWidth="0" w:num="1">
            <w:col w:w="11240"/>
          </w:cols>
          <w:pgMar w:left="320" w:top="1399" w:right="339" w:bottom="1440" w:gutter="0" w:footer="0" w:header="0"/>
        </w:sectPr>
      </w:pPr>
    </w:p>
    <w:bookmarkStart w:id="98" w:name="page99"/>
    <w:bookmarkEnd w:id="98"/>
    <w:p>
      <w:pPr>
        <w:ind w:left="640" w:hanging="314"/>
        <w:spacing w:after="0" w:line="306" w:lineRule="auto"/>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obtains such representations, undertakings and agreements from such person as are reasonably necessary to ascertain that such person's ownership of such shares of capital stock will not now or in the future jeopardize our ability to qualify as a REIT under the Code; and</w:t>
      </w:r>
    </w:p>
    <w:p>
      <w:pPr>
        <w:spacing w:after="0" w:line="167" w:lineRule="exact"/>
        <w:rPr>
          <w:rFonts w:ascii="Times New Roman" w:cs="Times New Roman" w:eastAsia="Times New Roman" w:hAnsi="Times New Roman"/>
          <w:sz w:val="17"/>
          <w:szCs w:val="17"/>
          <w:color w:val="auto"/>
        </w:rPr>
      </w:pPr>
    </w:p>
    <w:p>
      <w:pPr>
        <w:ind w:left="640" w:hanging="314"/>
        <w:spacing w:after="0" w:line="276" w:lineRule="auto"/>
        <w:tabs>
          <w:tab w:leader="none" w:pos="63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agrees that any violation or attempted violation of any such representations or undertakings (or any action which is contrary to the foregoing restrictions) will result in the automatic transfer of the shares of stock causing such violation to the Trust (as defined below).</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amendment, alteration or repeal of this provision of our Bylaws shall be valid only if approved by the affirmative vote of a majority of votes cast by stockholders entitled to vote generally in the election of directors. The board of directors may require a ruling from the Internal Revenue Service or an opinion of counsel, in either case in form and substance satisfactory to the board of directors in its sole discretion, in order to determine or ensure our status as a REIT.</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Articles also prohibit any person from (a) owning shares of our capital stock if such ownership would result in our being "closely held" within the meaning of Section 856(h) of the Code, (b) transferring shares of our capital stock if such transfer would result in our capital stock being owned by fewer than 100 persons, (c) owning shares of our capital stock if such ownership would cause any of our income that would otherwise qualify as rents from real property to fail to qualify as such, including as a result of any of our hotel management companies failing to qualify as "eligible independent contractors" under the REIT rules and (d) owning shares of our capital stock if such ownership would result in our failing to qualify as a REIT for U.S. federal income tax purposes. Any person who acquires or attempts or intends to acquire beneficial ownership of shares of our capital stock that will or may violate any of these restrictions on transferability and ownership will be required to give notice immediately to us (or, in the case of a proposed or attempted transaction, at least 15 days prior notice) and provide us with such other information as we may request in order to determine the effect of such transfer on our status as a REIT.</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granting a waiver or exemption from the Ownership Limit or the Look-Through Ownership Limit, the foregoing restrictions on transferability and ownership will not apply if our board of directors determines that it is no longer in the best interests of the company to attempt to qualify, or continue to qualify, as a REIT.</w:t>
      </w:r>
    </w:p>
    <w:p>
      <w:pPr>
        <w:spacing w:after="0" w:line="2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any transfer of shares of our capital stock or other event occurs which, if effective, would result in any person beneficially or constructively owning shares of our capital stock in excess or in violation of the above transfer and ownership limitations (a "Prohibited Owner"), then that number of shares of our capital stock the beneficial or constructive ownership of which otherwise would cause such person to violate such limitations (rounded to the nearest whole share) shall be automatically transferred to a trust (the "Trust") for the exclusive benefit of one or more charitable beneficiaries (the "Charitable Beneficiary"), and the Prohibited Owner shall not acquire any rights in such shares. Such automatic transfer shall be deemed to be effective as of the close of business on the Business Day (as defined in our Articles) prior to the date of such violative transfer. Shares of stock held in the Trust shall be issued and outstanding shares of our capital stock. The Prohibited Owner shall not benefit economically from ownership of any shares of stock held in the Trust, shall have no rights to dividends or other distributions and shall not possess any rights to vote or other rights attributable to the shares of stock held in the Trust. The trustee of the Trust (the "Trustee") shall have all voting rights and rights to dividends or other distributions with respect to shares of stock held in the Trust, which rights shall be exercised for the exclusive benefit of the Charitable Beneficiary. Any dividend or other distribution paid prior to the discovery by us that shares of stock have been transferred to the Trustee shall be paid by the recipient of such dividend or distribution to the Trustee upon demand, and any dividend or other distribution authorized but unpaid shall be paid when due to the Trustee. Any dividend or distribution so paid to the Trustee shall be held in trust for the Charitable Beneficiary. The Prohibited Owner shall have no voting rights with respect to shares of stock held in the Trust and, subject to Maryland law, effective as of the date that such shares of stock have been transferred to the Trust, the Trustee shall have the authority (at the Trustee's sole discretion) (i) to rescind as void any vote cast by a Prohibited Owner prior to the discovery by us that such shares have been transferred to the Trust and (ii) to recast such vote in accordance with the desires of the Trustee acting for the benefit of the Charitable Beneficiary. However, if we have already taken irreversible corporate action, then the Trustee shall not have the authority to rescind and recast such vote.</w:t>
      </w:r>
    </w:p>
    <w:p>
      <w:pPr>
        <w:sectPr>
          <w:pgSz w:w="11900" w:h="16838" w:orient="portrait"/>
          <w:cols w:equalWidth="0" w:num="1">
            <w:col w:w="11240"/>
          </w:cols>
          <w:pgMar w:left="320" w:top="1400" w:right="339" w:bottom="1440" w:gutter="0" w:footer="0" w:header="0"/>
        </w:sectPr>
      </w:pPr>
    </w:p>
    <w:bookmarkStart w:id="99" w:name="page100"/>
    <w:bookmarkEnd w:id="99"/>
    <w:p>
      <w:pPr>
        <w:jc w:val="both"/>
        <w:spacing w:after="0" w:line="250" w:lineRule="auto"/>
        <w:rPr>
          <w:sz w:val="20"/>
          <w:szCs w:val="20"/>
          <w:color w:val="auto"/>
        </w:rPr>
      </w:pPr>
      <w:r>
        <w:rPr>
          <w:rFonts w:ascii="Times New Roman" w:cs="Times New Roman" w:eastAsia="Times New Roman" w:hAnsi="Times New Roman"/>
          <w:sz w:val="18"/>
          <w:szCs w:val="18"/>
          <w:color w:val="auto"/>
        </w:rPr>
        <w:t>Within 20 days of receiving notice from us that shares of our capital stock have been transferred to the Trust, the Trustee shall sell the shares of stock held in the Trust to a person, designated by the Trustee, whose ownership of the shares will not violate the ownership limitations set forth in our Articles. Upon such sale, the interest of the Charitable Beneficiary in the shares sold shall terminate and the Trustee shall distribute the net proceeds of the sale to the Prohibited Owner and to the Charitable Beneficiary as follows. The Prohibited Owner shall receive the lesser of (i) the price paid by the Prohibited Owner for the shares or, if the Prohibited Owner did not give value for the shares in connection with the event causing the shares to be held in the Trust (e.g., a gift, devise or other such transaction), the Market Price (as defined in the Articles) of such shares on the day of the event causing the shares to be held in the Trust and (ii) the price per share received by the Trustee from the sale or other disposition of the shares held in the Trust. Any net sale proceeds in excess of the amount payable to the Prohibited Owner shall be paid immediately to the Charitable Beneficiary. If, prior to the discovery by us that shares of stock have been transferred to the Trustee, such shares are sold by a Prohibited Owner, then (i) such shares shall be deemed to have been sold on behalf of the Trust and (ii) to the extent that the Prohibited Owner received an amount for such shares that exceeds the amount that such Prohibited Owner was entitled to receive pursuant to the aforementioned requirement, such excess shall be paid to the Trustee upon demand.</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shares of our capital stock held in the Trust shall be deemed to have been offered for sale to us, or our designee, at a price per share equal to the lesser of (i) the price per share in the transaction that resulted in such transfer to the Trust (or, in the case of a devise or gift, the Market Price at the time of such devise or gift) and (ii) the Market Price on the date we, or our designee, accept such offer. We shall have the right to accept such offer until the Trustee has sold the shares of stock held in the Trust. Upon such a sale to us, the interest of the Charitable Beneficiary in the shares sold shall terminate and the Trustee shall distribute the net proceeds of the sale to the Prohibited Owner.</w:t>
      </w:r>
    </w:p>
    <w:p>
      <w:pPr>
        <w:spacing w:after="0" w:line="2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until the completion of our initial public offering, at which time our Common Stock became "publicly-offered securities" for purposes of certain regulations promulgated under ERISA by the U.S. Department of Labor, or the Plan Assets Regulation, our Articles limited equity participation by "benefit plan investors" to less than 25% in the aggregate so that such participation in any class of our equity securities by such "benefit plan investors" would not be deemed "significant." For such purposes, the terms "benefit plan investors" and "significant" are determined by reference to the Plan Assets Regulation. We believe that, under the Plan Assets Regulation, our Common Stock should be considered "publicly-offered securities" after our initial public offering and therefore this 25% limitation is no longer applicable to our Common Stock. However, "benefit plan investors" are prohibited from owning any class of our capital stock that does not qualify as "publicly-offered securities."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certificates representing shares of Common Stock and Preferred Stock, if any, will bear a legend referring to the restrictions described above.</w:t>
      </w:r>
    </w:p>
    <w:p>
      <w:pPr>
        <w:spacing w:after="0" w:line="24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Each stockholder shall provide to us such information as we may request, in good faith, in order to determine our status as a REIT and to comply with the requirements of any taxing authority or governmental authority or to determine such compliance.</w:t>
      </w:r>
    </w:p>
    <w:p>
      <w:pPr>
        <w:spacing w:after="0" w:line="19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These ownership limits could delay, defer or prevent a transaction or a change in control of our company that might involve a premium price for the Common Stock or otherwise be in the best interests of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Certain Material Provisions of Maryland Law, Our Articles, and Our Bylaws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to Reclassify Shares of Our Stock</w:t>
      </w:r>
    </w:p>
    <w:p>
      <w:pPr>
        <w:spacing w:after="0" w:line="2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authorize our board of directors to classify and reclassify any unissued shares of stock into other classes or series of stock, including Common Stock and Preferred Stock. Prior to the issuance of shares of each class or series, the board of directors is required by Maryland law and by our Articles to set, subject to the provisions of our Articles regarding restrictions on ownership and transfer of stock, the terms of any outstanding class or series of our stock, the preferences, conversion or other rights, voting powers, restrictions, limitations as to dividends or other distributions, qualifications and terms or conditions of redemption for each class or series. Thus, the board of</w:t>
      </w:r>
    </w:p>
    <w:p>
      <w:pPr>
        <w:sectPr>
          <w:pgSz w:w="11900" w:h="16838" w:orient="portrait"/>
          <w:cols w:equalWidth="0" w:num="1">
            <w:col w:w="11240"/>
          </w:cols>
          <w:pgMar w:left="320" w:top="1401" w:right="339" w:bottom="1440" w:gutter="0" w:footer="0" w:header="0"/>
        </w:sectPr>
      </w:pPr>
    </w:p>
    <w:bookmarkStart w:id="100" w:name="page101"/>
    <w:bookmarkEnd w:id="100"/>
    <w:p>
      <w:pPr>
        <w:jc w:val="both"/>
        <w:spacing w:after="0" w:line="261" w:lineRule="auto"/>
        <w:rPr>
          <w:sz w:val="20"/>
          <w:szCs w:val="20"/>
          <w:color w:val="auto"/>
        </w:rPr>
      </w:pPr>
      <w:r>
        <w:rPr>
          <w:rFonts w:ascii="Times New Roman" w:cs="Times New Roman" w:eastAsia="Times New Roman" w:hAnsi="Times New Roman"/>
          <w:sz w:val="18"/>
          <w:szCs w:val="18"/>
          <w:color w:val="auto"/>
        </w:rPr>
        <w:t>directors could authorize the issuance of shares of Common Stock or Preferred Stock with terms and conditions which could have the effect of delaying, deferring or preventing a transaction or a change in control that might involve a premium price for holders of our Common Stock or that stockholders may believe is in their best interests.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to Increase Authorized Stock and Issue Additional Shares of Our Common Stock and Preferred Stock</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authorized capital stock consists of 400,000,000 shares of Common Stock and 10,000,000 shares of Preferred Stock. Our Articles authorize our board of directors to increase the number of authorized shares of stock, issue additional authorized but unissued shares of our Common Stock or Preferred Stock and to classify or reclassify unissued shares of our Common Stock or Preferred Stock and thereafter to cause us to issue such classified or reclassified shares of stock without further action by our stockholders, unless stockholder consent is required by the rules of any stock exchange or automated quotation system on which our securities may be listed or traded. We believe these provisions provide us with increased flexibility in structuring possible future financings and acquisitions and in meeting other needs which might arise. Although our board of directors does not intend to do so, it could authorize us to issue a class or series that could, depending upon the terms of the particular class or series, delay, defer or prevent a transaction or a change of control of our company that might involve a premium price for holders of our Common Stock or that stockholders may believe is in their best interests.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Number, Election and Removal of Directors</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Bylaws provide that the number of directors may be set only by our board of directors, but may never be less than the minimum number required by the MGCL nor more than 15. Our Bylaws provide that, in a contested election, a plurality of all the votes cast at a meeting of stockholders duly called and at which a quorum is present shall be sufficient to elect a director. In an uncontested election, a majority of all votes cast at a meeting of stockholders duly called and at which a quorum is present is required to elect a director. If an incumbent director fails to be re-elected by a majority of all votes cast in an uncontested election, that director is required under our Bylaws to tender his or her resignation to our board of directors for consideration. Additionally, pursuant to our Guidelines on Significant Governance Issues, the board of directors is required to accept the resignation of an incumbent director who is not elected pursuant to the majority voting standard in an uncontested election at each of two consecutive annual meetings of stockholders.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elected to be subject to the provision of Subtitle 8 of Title 3 of the MGCL regarding the filling of vacancies on the board of directors. Accordingly, except as may be provided by the board of directors in setting the terms of any class or series of stock, any and all vacancies on the board of directors may be filled only by the affirmative vote of a majority of the remaining directors in office, even if the remaining directors do not constitute a quorum, and any director elected to fill a vacancy shall serve for the remainder of the full term of the directorship in which such vacancy occurred and until a successor is elected and qualifies.</w:t>
      </w:r>
    </w:p>
    <w:p>
      <w:pPr>
        <w:spacing w:after="0" w:line="2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Our Articles provide that a director may be removed with or without cause by the affirmative vote of holders of at least two-thirds of the votes entitled to be cast generally in the election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Charter Amendments and Extraordinary Corporate Actions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MGCL,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unless a lesser percentage (but not less than a majority of all of the votes entitled to be cast on the matter) is set forth in the corporation's charter. Our Articles provide that, as permitted by the MGCL, if an amendment or action is declared advisable by the board of directors, such amendment or action may be approved by the affirmative vote of stockholders entitled to cast at least a majority of the votes entitled to be cast on the matter.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Bylaws</w:t>
      </w:r>
    </w:p>
    <w:p>
      <w:pPr>
        <w:sectPr>
          <w:pgSz w:w="11900" w:h="16838" w:orient="portrait"/>
          <w:cols w:equalWidth="0" w:num="1">
            <w:col w:w="11240"/>
          </w:cols>
          <w:pgMar w:left="320" w:top="1400" w:right="339" w:bottom="1440" w:gutter="0" w:footer="0" w:header="0"/>
        </w:sectPr>
      </w:pPr>
    </w:p>
    <w:bookmarkStart w:id="101" w:name="page102"/>
    <w:bookmarkEnd w:id="101"/>
    <w:p>
      <w:pPr>
        <w:jc w:val="both"/>
        <w:spacing w:after="0" w:line="254" w:lineRule="auto"/>
        <w:rPr>
          <w:sz w:val="20"/>
          <w:szCs w:val="20"/>
          <w:color w:val="auto"/>
        </w:rPr>
      </w:pPr>
      <w:r>
        <w:rPr>
          <w:rFonts w:ascii="Times New Roman" w:cs="Times New Roman" w:eastAsia="Times New Roman" w:hAnsi="Times New Roman"/>
          <w:sz w:val="18"/>
          <w:szCs w:val="18"/>
          <w:color w:val="auto"/>
        </w:rPr>
        <w:t>Our Bylaws provide that, with the exception of provisions in our Bylaws relating to the business combination and control share provisions of the MGCL and the waiver of the ownership limitations set forth in our Articles, which provisions may not be amended without the approval of the stockholders entitled to cast a majority of the votes entitled to be cast on the matter, our Bylaws may be altered, amended or repealed or new Bylaws may be adopted by either our board of directors or the affirmative vote of a majority of all votes entitled to be cast by the stockholders of the issued and outstanding shares of our Common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MGCL, certain "business combinations" (including a merger, consolidation, share exchange or, in certain circumstances, an asset transfer or issuance or reclassification of equity securities) between a Maryland corporation and any person who beneficially owns ten percent or more of the voting power of the corporation's outstanding voting stock or an affiliate or associate of the corporation who, at any time within the two-year period immediately prior to the date in question, was the beneficial owner of ten percent or more of the voting power of the then-outstanding stock of the corporation (an "Interested Stockholder") or an affiliate of such an Interested Stockholder are prohibited for five years after the most recent date on which such Interested Stockholder becomes an Interested Stockholder. A person is not an Interested Stockholder under the statute if the board of directors approved in advance the transaction by which he otherwise would have become an Interested Stockholder. However, in approving a transaction, the board of directors may provide that its approval is subject to compliance with any terms and conditions determined by the board.</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such business combination entered into after the five-year prohibition must be recommended by the board of directors of such corporation and approved by the affirmative vote of at least (a) 80% of the votes entitled to be cast by holders of outstanding shares of voting stock of the corporation and (b)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provisions of the MGCL do not apply, however, to business combinations that are approved or exempted by the board of directors of the corporation prior to the time that the Interested Stockholder becomes an Interested Stockholder. Our board of directors has adopted a resolution opting out of the business combination provisions of the MGCL. This resolution provides that any alteration or repeal of the resolution by the board of directors shall be valid only if approved, at a meeting duly called, by the affirmative vote of a majority of votes cast by stockholders entitled to vote generally for directors and the affirmative vote of a majority of continuing directors. Our Bylaws provide that any such alteration or repeal of the resolution will be valid only if approved, at a meeting duly called, by the affirmative vote of a majority of votes cast by stockholders entitled to vote generally for directors and the affirmative vote of a majority of continuing directors. If this resolution is repealed, the statute may discourage others from trying to acquire control of us and increase the difficulty of consummating any offer.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MGCL provides that holders of "control shares" of a Maryland corporation acquired in a "control share acquisition" have no voting rights except to the extent approved by a vote of two-thirds of the votes entitled to be cast on the matter, excluding shares of stock owned by the acquiror, by officers or by directors who are employees of the corporation. "Control Shares" are voting shares of stock which, if aggregated with all other such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(i) one-tenth or more but less than one-third, (ii) one-third or more but less than a majority, or (iii) a majority or more of all voting power. Control shares do not include shares the acquiring person is then entitled to vote as a result of having previously obtained stockholder approval. A "control share acquisition" means the acquisition of control shares, subject to certain exceptions.</w:t>
      </w:r>
    </w:p>
    <w:p>
      <w:pPr>
        <w:sectPr>
          <w:pgSz w:w="11900" w:h="16838" w:orient="portrait"/>
          <w:cols w:equalWidth="0" w:num="1">
            <w:col w:w="11240"/>
          </w:cols>
          <w:pgMar w:left="320" w:top="1401" w:right="339" w:bottom="1440" w:gutter="0" w:footer="0" w:header="0"/>
        </w:sectPr>
      </w:pPr>
    </w:p>
    <w:bookmarkStart w:id="102" w:name="page103"/>
    <w:bookmarkEnd w:id="102"/>
    <w:p>
      <w:pPr>
        <w:jc w:val="both"/>
        <w:spacing w:after="0" w:line="261"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upon satisfaction of certain conditions (including an undertaking to pay expenses), may compel the board of directors of the corporation to call a special meeting of stockholders to be held within 50 days of demand to consider the voting rights of the shares. If no request for a meeting is made, the corporation may itself present the question at any stockholders meeting.</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acquiror or of any meeting of stockholders at which the voting rights of such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such appraisal rights may not be less than the highest price per share paid by the acquiror in the control share acquisition.</w:t>
      </w:r>
    </w:p>
    <w:p>
      <w:pPr>
        <w:spacing w:after="0" w:line="2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control share acquisition statute does not apply (a) to shares acquired in a merger, consolidation or share exchange if the corporation is a party to the transaction or (b) to acquisitions approved or exempted by the charter or bylaws of the corporation.</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statute any and all acquisitions by any person of shares of our capital stock. Our Bylaws provide that any amendment, alteration or repeal of this provision shall be valid only if approved, at a meeting duly called, by the affirmative vote of a majority of votes cast by stockholders entitled to vote generally for directors and the affirmative vote of a majority of continuing directors. There can be no assurance that such provision will not be amended or eliminated at any time in the future.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Subtitle 8</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Subtitle 8 of Title 3 of the MGCL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the charter or bylaws, to any or all of five provisions:</w:t>
      </w:r>
    </w:p>
    <w:p>
      <w:pPr>
        <w:spacing w:after="0" w:line="204" w:lineRule="exact"/>
        <w:rPr>
          <w:sz w:val="20"/>
          <w:szCs w:val="20"/>
          <w:color w:val="auto"/>
        </w:rPr>
      </w:pPr>
    </w:p>
    <w:p>
      <w:pPr>
        <w:ind w:left="640" w:hanging="314"/>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w:t>
      </w:r>
    </w:p>
    <w:p>
      <w:pPr>
        <w:spacing w:after="0" w:line="24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vote requirement for removing a director,</w:t>
      </w:r>
    </w:p>
    <w:p>
      <w:pPr>
        <w:spacing w:after="0" w:line="24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number of directors by fixed only by vote of the directors,</w:t>
      </w:r>
    </w:p>
    <w:p>
      <w:pPr>
        <w:spacing w:after="0" w:line="246"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vacancy on the board be filled only by the remaining directors and for the remainder of the full term of the class of directors in which the vacancy occurred, and</w:t>
      </w:r>
    </w:p>
    <w:p>
      <w:pPr>
        <w:spacing w:after="0" w:line="190"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requirement for the calling of a special meeting of stockholders.</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Through provisions in our Articles and Bylaws unrelated to Subtitle 8, we already (a) require a two-thirds vote for the removal of any director from the board and (b) vest in the board the exclusive power to fix the number of directorships. Additionally, our Articles provide, under Section 3-804(c) of the MGCL, that, except as may be provided by the board of directors in setting the terms of any class or series of stock, any and all vacancies on the board of directors may be filled only by the affirmative vote of a majority of the remaining directors in office, even if the remaining directors do not constitute a quorum, and any director elected to fill a vacancy shall serve for the remainder of the full term of the directorship in which such vacancy occurred. Our Articles prohibit us from electing to be subject to the provision of Subtitle 8 regarding a classified board of directors. This prohibition may not be repealed without the affirmative vote of a majority of the votes cast on the matter by stockholders entitled to vote generally in the election of directors.</w:t>
      </w:r>
    </w:p>
    <w:p>
      <w:pPr>
        <w:sectPr>
          <w:pgSz w:w="11900" w:h="16838" w:orient="portrait"/>
          <w:cols w:equalWidth="0" w:num="1">
            <w:col w:w="11240"/>
          </w:cols>
          <w:pgMar w:left="320" w:top="140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color w:val="auto"/>
        </w:rPr>
        <w:t>Advance Notice of Director Nominations and New Business</w:t>
      </w:r>
    </w:p>
    <w:p>
      <w:pPr>
        <w:spacing w:after="0" w:line="2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Bylaws provide that, with respect to an annual meeting of stockholders, nominations of individuals for election to the board of directors and the proposal of other business to be considered by stockholders may be made only (i) pursuant to our notice of the meeting, (ii) by or at the direction of the board of directors or (iii) by a stockholder who is a stockholder of record at the record date set by the board of directors for the purpose of determining stockholders entitled to vote at the annual meeting, at the time such stockholder gives notice required by our Bylaws and at the time of the annual meeting (and any postponement or adjournment thereof) and has complied with the advance notice procedures and other applicable requirements set forth in our Bylaws. Our Bylaws also provide that only the business specified in our notice of meeting may be brought before a special meeting of stockholders. Nominations of individuals for election to the board of directors at a special meeting of stockholders may be made only (i) by or at the direction of the board of directors or</w:t>
      </w:r>
    </w:p>
    <w:p>
      <w:pPr>
        <w:spacing w:after="0" w:line="1" w:lineRule="exact"/>
        <w:rPr>
          <w:sz w:val="20"/>
          <w:szCs w:val="20"/>
          <w:color w:val="auto"/>
        </w:rPr>
      </w:pPr>
    </w:p>
    <w:p>
      <w:pPr>
        <w:jc w:val="both"/>
        <w:ind w:firstLine="7"/>
        <w:spacing w:after="0" w:line="248" w:lineRule="auto"/>
        <w:tabs>
          <w:tab w:leader="none" w:pos="2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board of directors has determined that directors shall be elected at such special meeting, by a stockholder who is a stockholder of record at the record date set by the board of directors for the purpose of determining stockholders entitled to vote at the special meeting, at the time such stockholder gives notice required by our Bylaws and at the time of the special meeting (and any postponement or adjournment thereof) and has complied with the advance notice provisions and other applicable requirements set forth in our Bylaws. These advance notice procedures may have the effect of precluding the conduct of certain business at a meeting if the proper procedures are not followed and may also discourage or deter a potential acquirer from conducting a solicitation of proxies to elect its own slate of directors or otherwise attempt to obtain control of DiamondRock.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Access Rights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Bylaws permit a stockholder or group of no more than 20 stockholders meeting specified eligibility requirements to include director nominees in our proxy materials for annual meetings of our stockholders. In order to be eligible to utilize these proxy access provisions, a stockholder, or group of stockholders, must, among other requirements, have owned shares of Common Stock equal to at least 3% of the aggregate of the issued and outstanding shares of our Common Stock continuously for at least the prior three years. Additionally, all director nominees submitted through these provisions must be independent and meet specified additional criteria. The maximum number of director nominees that may be submitted pursuant to these provisions may not exceed the greater of two or 20% of the number of directors then in office. In general, we must receive written notice of a nomination pursuant to these provisions no earlier than 150 days and no later than 120 days prior to the first anniversary of the date that we first mailed our proxy statement for the previous year's annual meeting of stockholders, in order for the notice to be timely. The notice must contain certain information specified in our Bylaws.</w:t>
      </w:r>
    </w:p>
    <w:p>
      <w:pPr>
        <w:sectPr>
          <w:pgSz w:w="11900" w:h="16838" w:orient="portrait"/>
          <w:cols w:equalWidth="0" w:num="1">
            <w:col w:w="11240"/>
          </w:cols>
          <w:pgMar w:left="320" w:top="1399"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8460" w:type="dxa"/>
            <w:vAlign w:val="bottom"/>
            <w:gridSpan w:val="2"/>
            <w:vMerge w:val="restart"/>
          </w:tcPr>
          <w:p>
            <w:pPr>
              <w:ind w:left="3920"/>
              <w:spacing w:after="0"/>
              <w:rPr>
                <w:sz w:val="20"/>
                <w:szCs w:val="20"/>
                <w:color w:val="auto"/>
              </w:rPr>
            </w:pPr>
            <w:r>
              <w:rPr>
                <w:rFonts w:ascii="Times New Roman" w:cs="Times New Roman" w:eastAsia="Times New Roman" w:hAnsi="Times New Roman"/>
                <w:sz w:val="18"/>
                <w:szCs w:val="18"/>
                <w:b w:val="1"/>
                <w:bCs w:val="1"/>
                <w:color w:val="auto"/>
              </w:rPr>
              <w:t>DiamondRock Hospitality Company</w:t>
            </w:r>
          </w:p>
        </w:tc>
        <w:tc>
          <w:tcPr>
            <w:tcW w:w="246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w w:val="97"/>
              </w:rPr>
              <w:t>EXHIBIT 21.1</w:t>
            </w:r>
          </w:p>
        </w:tc>
        <w:tc>
          <w:tcPr>
            <w:tcW w:w="0" w:type="dxa"/>
            <w:vAlign w:val="bottom"/>
          </w:tcPr>
          <w:p>
            <w:pPr>
              <w:spacing w:after="0"/>
              <w:rPr>
                <w:sz w:val="1"/>
                <w:szCs w:val="1"/>
                <w:color w:val="auto"/>
              </w:rPr>
            </w:pPr>
          </w:p>
        </w:tc>
      </w:tr>
      <w:tr>
        <w:trPr>
          <w:trHeight w:val="192"/>
        </w:trPr>
        <w:tc>
          <w:tcPr>
            <w:tcW w:w="8460" w:type="dxa"/>
            <w:vAlign w:val="bottom"/>
            <w:gridSpan w:val="2"/>
            <w:vMerge w:val="continue"/>
          </w:tcPr>
          <w:p>
            <w:pPr>
              <w:spacing w:after="0"/>
              <w:rPr>
                <w:sz w:val="16"/>
                <w:szCs w:val="16"/>
                <w:color w:val="auto"/>
              </w:rPr>
            </w:pPr>
          </w:p>
        </w:tc>
        <w:tc>
          <w:tcPr>
            <w:tcW w:w="2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60" w:type="dxa"/>
            <w:vAlign w:val="bottom"/>
            <w:gridSpan w:val="2"/>
          </w:tcPr>
          <w:p>
            <w:pPr>
              <w:ind w:left="484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8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16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460" w:type="dxa"/>
            <w:vAlign w:val="bottom"/>
            <w:gridSpan w:val="2"/>
            <w:vMerge w:val="continue"/>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Organization</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Bloodstone TRS, Inc.</w:t>
            </w:r>
          </w:p>
        </w:tc>
        <w:tc>
          <w:tcPr>
            <w:tcW w:w="4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CPFB Holdings,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CPFB Owner,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CPFB Tenant,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Acquisition,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Alpharetta Owner,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Alpharetta Tenant,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AZ LA Owner,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AZ LA Tenant,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AZ OR Owner,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AZ OR Tenant,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Bethesda General,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Bethesda Limited,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Bethesda Owner Limited Partnership</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Maryland</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Bethesda Tenant,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Boston Broad Street Owner,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Boston Broad Street Tenant,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Boston Owner,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Boston Retail Owner,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Boston Tenant,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DRH Bourbon Owner,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DRH Bourbon Tenant,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Burlington Owner,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Burlington Tenant,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Charleston Owner,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Charleston Tenant,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Cherry Creek Owner,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Cherry Creek Tenant,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Chicago Conrad Owner,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Chicago Conrad Tenant,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Chicago Owner,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Chicago Tenant,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DRH Chico Owner,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DRH Chico Tenant,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DC Holdings,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DC M Street Owner,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DC M Street Tenant,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Denver Downtown Owner,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Denver Downtown Tenant,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East 40th Street NYC Owner Holdings,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East 40th Street NYC Owner,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East 40th Street NYC Tenant, LLC</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DiamondRock FL Owner, LLC</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640" w:top="879"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FL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Frenchman's Holdings,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HB Owner,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HB Tenant,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DRH HBR Owner,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DRH HBR Tenant,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Hospitality Limited Partnership</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DRH HPI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DRH HPI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Key West North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Key West North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KW South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KW South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DRH Lake Austin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DRH Lake Austin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Manhattan/Midtown East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Manhattan/Midtown East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Minnesota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Minnesota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PHX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PHX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DRH Riomar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DRH Riomar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Salt Lake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Salt Lake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San Diego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San Diego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SF Sutter Street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SF Sutter Street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Sonoma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Sonoma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Tahoe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Tahoe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Times Square Owner,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Times Square Tenant,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DRH Tranquility,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DiamondRock Vail Owner,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DiamondRock Vail Tenant,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DRH Worthington Owner General,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DRH Worthington Owner Limited,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DRH Worthington Owner Limited Partnership</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DRH Worthington Tenant General, LLC</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DRH Worthington Tenant Limited, LLC</w:t>
            </w:r>
          </w:p>
        </w:tc>
        <w:tc>
          <w:tcPr>
            <w:tcW w:w="410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r>
        <w:trPr>
          <w:trHeight w:val="232"/>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DRH Worthington Tenant Limited Partnership</w:t>
            </w:r>
          </w:p>
        </w:tc>
        <w:tc>
          <w:tcPr>
            <w:tcW w:w="41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620"/>
          </w:cols>
          <w:pgMar w:left="640" w:top="926" w:right="6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88" w:lineRule="exact"/>
        <w:rPr>
          <w:sz w:val="20"/>
          <w:szCs w:val="20"/>
          <w:color w:val="auto"/>
        </w:rPr>
      </w:pPr>
    </w:p>
    <w:p>
      <w:pPr>
        <w:jc w:val="both"/>
        <w:ind w:firstLine="259"/>
        <w:spacing w:after="0" w:line="254"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333-281236) on Form S-3 and (Nos. 333-166713, 333-197987, 333-211191, and 333-279030) on Form S-8 of our reports dated February 27, 2026, with respect to the consolidated financial statements of DiamondRock Hospitality Company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ectPr>
          <w:pgSz w:w="11900" w:h="16838" w:orient="portrait"/>
          <w:cols w:equalWidth="0" w:num="1">
            <w:col w:w="11240"/>
          </w:cols>
          <w:pgMar w:left="320" w:top="879"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Rule 13a-14(a) and Rule 15d-14(a)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J. Donnelly, certify that:</w:t>
      </w:r>
    </w:p>
    <w:p>
      <w:pPr>
        <w:spacing w:after="0" w:line="246" w:lineRule="exact"/>
        <w:rPr>
          <w:sz w:val="20"/>
          <w:szCs w:val="20"/>
          <w:color w:val="auto"/>
        </w:rPr>
      </w:pPr>
    </w:p>
    <w:p>
      <w:pPr>
        <w:ind w:left="320" w:hanging="313"/>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DiamondRock Hospitality Company;</w:t>
      </w:r>
    </w:p>
    <w:p>
      <w:pPr>
        <w:spacing w:after="0" w:line="246" w:lineRule="exact"/>
        <w:rPr>
          <w:rFonts w:ascii="Times New Roman" w:cs="Times New Roman" w:eastAsia="Times New Roman" w:hAnsi="Times New Roman"/>
          <w:sz w:val="18"/>
          <w:szCs w:val="18"/>
          <w:color w:val="auto"/>
        </w:rPr>
      </w:pPr>
    </w:p>
    <w:p>
      <w:pPr>
        <w:ind w:left="320" w:right="80" w:hanging="313"/>
        <w:spacing w:after="0" w:line="306" w:lineRule="auto"/>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left="320" w:right="540" w:hanging="313"/>
        <w:spacing w:after="0" w:line="276" w:lineRule="auto"/>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320" w:right="160" w:hanging="313"/>
        <w:spacing w:after="0" w:line="261" w:lineRule="auto"/>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1040" w:right="120" w:hanging="314"/>
        <w:spacing w:after="0" w:line="261" w:lineRule="auto"/>
        <w:tabs>
          <w:tab w:leader="none" w:pos="103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040" w:right="420" w:hanging="314"/>
        <w:spacing w:after="0" w:line="261" w:lineRule="auto"/>
        <w:tabs>
          <w:tab w:leader="none" w:pos="103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jc w:val="both"/>
        <w:ind w:left="1040" w:right="600" w:hanging="314"/>
        <w:spacing w:after="0" w:line="306" w:lineRule="auto"/>
        <w:tabs>
          <w:tab w:leader="none" w:pos="103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1040" w:right="120" w:hanging="314"/>
        <w:spacing w:after="0" w:line="261" w:lineRule="auto"/>
        <w:tabs>
          <w:tab w:leader="none" w:pos="103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20" w:right="280" w:hanging="313"/>
        <w:spacing w:after="0" w:line="276" w:lineRule="auto"/>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1040" w:right="20" w:hanging="314"/>
        <w:spacing w:after="0" w:line="276" w:lineRule="auto"/>
        <w:tabs>
          <w:tab w:leader="none" w:pos="103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040" w:right="540" w:hanging="314"/>
        <w:spacing w:after="0" w:line="276" w:lineRule="auto"/>
        <w:tabs>
          <w:tab w:leader="none" w:pos="103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5"/>
          <w:szCs w:val="15"/>
          <w:color w:val="auto"/>
        </w:rPr>
        <w:t>February 27, 2026</w:t>
      </w:r>
    </w:p>
    <w:p>
      <w:pPr>
        <w:spacing w:after="0" w:line="1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JEFFREY J.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15875</wp:posOffset>
            </wp:positionV>
            <wp:extent cx="22593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line="1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Jeffrey J. Donnelly</w:t>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ind w:left="56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9"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Rule 13a-14(a) and Rule 15d-14(a)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Briony R. Quinn, certify that:</w:t>
      </w:r>
    </w:p>
    <w:p>
      <w:pPr>
        <w:spacing w:after="0" w:line="246" w:lineRule="exact"/>
        <w:rPr>
          <w:sz w:val="20"/>
          <w:szCs w:val="20"/>
          <w:color w:val="auto"/>
        </w:rPr>
      </w:pPr>
    </w:p>
    <w:p>
      <w:pPr>
        <w:ind w:left="320" w:hanging="313"/>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DiamondRock Hospitality Company;</w:t>
      </w:r>
    </w:p>
    <w:p>
      <w:pPr>
        <w:spacing w:after="0" w:line="246" w:lineRule="exact"/>
        <w:rPr>
          <w:rFonts w:ascii="Times New Roman" w:cs="Times New Roman" w:eastAsia="Times New Roman" w:hAnsi="Times New Roman"/>
          <w:sz w:val="18"/>
          <w:szCs w:val="18"/>
          <w:color w:val="auto"/>
        </w:rPr>
      </w:pPr>
    </w:p>
    <w:p>
      <w:pPr>
        <w:ind w:left="320" w:right="80" w:hanging="313"/>
        <w:spacing w:after="0" w:line="306" w:lineRule="auto"/>
        <w:tabs>
          <w:tab w:leader="none" w:pos="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left="320" w:right="540" w:hanging="313"/>
        <w:spacing w:after="0" w:line="276"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320" w:right="160" w:hanging="313"/>
        <w:spacing w:after="0" w:line="261"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1040" w:right="120" w:hanging="314"/>
        <w:spacing w:after="0" w:line="261" w:lineRule="auto"/>
        <w:tabs>
          <w:tab w:leader="none" w:pos="103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040" w:right="420" w:hanging="314"/>
        <w:spacing w:after="0" w:line="261" w:lineRule="auto"/>
        <w:tabs>
          <w:tab w:leader="none" w:pos="103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jc w:val="both"/>
        <w:ind w:left="1040" w:right="600" w:hanging="314"/>
        <w:spacing w:after="0" w:line="306" w:lineRule="auto"/>
        <w:tabs>
          <w:tab w:leader="none" w:pos="1037"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1040" w:right="120" w:hanging="314"/>
        <w:spacing w:after="0" w:line="261" w:lineRule="auto"/>
        <w:tabs>
          <w:tab w:leader="none" w:pos="103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20" w:right="280" w:hanging="313"/>
        <w:spacing w:after="0" w:line="276"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1040" w:right="20" w:hanging="314"/>
        <w:spacing w:after="0" w:line="276" w:lineRule="auto"/>
        <w:tabs>
          <w:tab w:leader="none" w:pos="103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040" w:right="540" w:hanging="314"/>
        <w:spacing w:after="0" w:line="276" w:lineRule="auto"/>
        <w:tabs>
          <w:tab w:leader="none" w:pos="103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2026</w:t>
      </w:r>
    </w:p>
    <w:p>
      <w:pPr>
        <w:spacing w:after="0" w:line="1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BRIONY R.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15875</wp:posOffset>
            </wp:positionV>
            <wp:extent cx="25977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2597785" cy="8255"/>
                    </a:xfrm>
                    <a:prstGeom prst="rect">
                      <a:avLst/>
                    </a:prstGeom>
                    <a:noFill/>
                  </pic:spPr>
                </pic:pic>
              </a:graphicData>
            </a:graphic>
          </wp:anchor>
        </w:drawing>
      </w:r>
    </w:p>
    <w:p>
      <w:pPr>
        <w:spacing w:after="0" w:line="1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Briony R. Quinn</w:t>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Executive Vice President,</w:t>
      </w:r>
    </w:p>
    <w:p>
      <w:pPr>
        <w:ind w:left="5600"/>
        <w:spacing w:after="0" w:line="200" w:lineRule="auto"/>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9"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 Section 1350</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undersigned officers, who are the Chief Executive Officer and Chief Financial Officer of DiamondRock Hospitality Company (the “Company”), each hereby certifies to the best of his knowledge, that the Company’s Annual Report on Form 10-K (the “Report”) to which this certification is attached,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JEFFREY J. DONNELLY</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BRIONY R. QUINN</w:t>
            </w:r>
          </w:p>
        </w:tc>
      </w:tr>
      <w:tr>
        <w:trPr>
          <w:trHeight w:val="215"/>
        </w:trPr>
        <w:tc>
          <w:tcPr>
            <w:tcW w:w="4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Jeffrey J. Donnelly</w:t>
            </w:r>
          </w:p>
        </w:tc>
        <w:tc>
          <w:tcPr>
            <w:tcW w:w="540" w:type="dxa"/>
            <w:vAlign w:val="bottom"/>
          </w:tcPr>
          <w:p>
            <w:pPr>
              <w:spacing w:after="0"/>
              <w:rPr>
                <w:sz w:val="18"/>
                <w:szCs w:val="18"/>
                <w:color w:val="auto"/>
              </w:rPr>
            </w:pPr>
          </w:p>
        </w:tc>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Briony R. Quinn</w:t>
            </w:r>
          </w:p>
        </w:tc>
      </w:tr>
      <w:tr>
        <w:trPr>
          <w:trHeight w:val="23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45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27, 2026</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2026</w:t>
            </w:r>
          </w:p>
        </w:tc>
      </w:tr>
    </w:tbl>
    <w:p>
      <w:pPr>
        <w:spacing w:after="0" w:line="1" w:lineRule="exact"/>
        <w:rPr>
          <w:sz w:val="20"/>
          <w:szCs w:val="20"/>
          <w:color w:val="auto"/>
        </w:rPr>
      </w:pP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1)"/>
      <w:numFmt w:val="lowerRoman"/>
      <w:start w:val="3"/>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4"/>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4"/>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5"/>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lowerLetter"/>
      <w:start w:val="4"/>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3"/>
    </w:lvl>
  </w:abstractNum>
  <w:abstractNum w:abstractNumId="38">
    <w:nsid w:val="374A3FE6"/>
    <w:multiLevelType w:val="hybridMultilevel"/>
    <w:lvl w:ilvl="0">
      <w:lvlJc w:val="left"/>
      <w:lvlText w:val="%1"/>
      <w:numFmt w:val="decimal"/>
      <w:start w:val="97"/>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1"/>
    </w:lvl>
    <w:lvl w:ilvl="1">
      <w:lvlJc w:val="left"/>
      <w:lvlText w:val="(%2)"/>
      <w:numFmt w:val="decimal"/>
      <w:start w:val="1"/>
    </w:lvl>
  </w:abstractNum>
  <w:abstractNum w:abstractNumId="45">
    <w:nsid w:val="180115BE"/>
    <w:multiLevelType w:val="hybridMultilevel"/>
    <w:lvl w:ilvl="0">
      <w:lvlJc w:val="left"/>
      <w:lvlText w:val="%1."/>
      <w:numFmt w:val="decimal"/>
      <w:start w:val="6"/>
    </w:lvl>
    <w:lvl w:ilvl="1">
      <w:lvlJc w:val="left"/>
      <w:lvlText w:val="%2"/>
      <w:numFmt w:val="decimal"/>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decimal"/>
      <w:start w:val="9"/>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1"/>
    </w:lvl>
    <w:lvl w:ilvl="1">
      <w:lvlJc w:val="left"/>
      <w:lvlText w:val="(%2)"/>
      <w:numFmt w:val="decimal"/>
      <w:start w:val="1"/>
    </w:lvl>
  </w:abstractNum>
  <w:abstractNum w:abstractNumId="56">
    <w:nsid w:val="77AE35EB"/>
    <w:multiLevelType w:val="hybridMultilevel"/>
    <w:lvl w:ilvl="0">
      <w:lvlJc w:val="left"/>
      <w:lvlText w:val="%1."/>
      <w:numFmt w:val="decimal"/>
      <w:start w:val="14"/>
    </w:lvl>
    <w:lvl w:ilvl="1">
      <w:lvlJc w:val="left"/>
      <w:lvlText w:val="%2"/>
      <w:numFmt w:val="decimal"/>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upperLetter"/>
      <w:start w:val="1"/>
    </w:lvl>
  </w:abstractNum>
  <w:abstractNum w:abstractNumId="61">
    <w:nsid w:val="25A70BF7"/>
    <w:multiLevelType w:val="hybridMultilevel"/>
    <w:lvl w:ilvl="0">
      <w:lvlJc w:val="left"/>
      <w:lvlText w:val="%1)"/>
      <w:numFmt w:val="upperLetter"/>
      <w:start w:val="2"/>
    </w:lvl>
  </w:abstractNum>
  <w:abstractNum w:abstractNumId="62">
    <w:nsid w:val="1DBABF00"/>
    <w:multiLevelType w:val="hybridMultilevel"/>
    <w:lvl w:ilvl="0">
      <w:lvlJc w:val="left"/>
      <w:lvlText w:val="%1)"/>
      <w:numFmt w:val="upperLetter"/>
      <w:start w:val="3"/>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lowerLetter"/>
      <w:start w:val="2"/>
    </w:lvl>
  </w:abstractNum>
  <w:abstractNum w:abstractNumId="65">
    <w:nsid w:val="1381823A"/>
    <w:multiLevelType w:val="hybridMultilevel"/>
    <w:lvl w:ilvl="0">
      <w:lvlJc w:val="left"/>
      <w:lvlText w:val="%1."/>
      <w:numFmt w:val="lowerLetter"/>
      <w:start w:val="1"/>
    </w:lvl>
  </w:abstractNum>
  <w:abstractNum w:abstractNumId="66">
    <w:nsid w:val="5DB70AE5"/>
    <w:multiLevelType w:val="hybridMultilevel"/>
    <w:lvl w:ilvl="0">
      <w:lvlJc w:val="left"/>
      <w:lvlText w:val="(%1)"/>
      <w:numFmt w:val="lowerRoman"/>
      <w:start w:val="2"/>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5" Type="http://schemas.openxmlformats.org/officeDocument/2006/relationships/image" Target="media/image85.png"/><Relationship Id="rId104"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92" Type="http://schemas.openxmlformats.org/officeDocument/2006/relationships/hyperlink" Target="https://www.sec.gov/Archives/edgar/data/1298946/000119312505039763/dex31.htm" TargetMode="External"/><Relationship Id="rId93" Type="http://schemas.openxmlformats.org/officeDocument/2006/relationships/hyperlink" Target="https://www.sec.gov/Archives/edgar/data/1298946/000110465907001655/a07-1225_3ex3d1.htm" TargetMode="External"/><Relationship Id="rId94" Type="http://schemas.openxmlformats.org/officeDocument/2006/relationships/hyperlink" Target="https://www.sec.gov/Archives/edgar/data/1298946/000118811212002132/ex3-1.htm" TargetMode="External"/><Relationship Id="rId96" Type="http://schemas.openxmlformats.org/officeDocument/2006/relationships/hyperlink" Target="https://www.sec.gov/Archives/edgar/data/1298946/000119312514069953/d685388dex31.htm" TargetMode="External"/><Relationship Id="rId97" Type="http://schemas.openxmlformats.org/officeDocument/2006/relationships/hyperlink" Target="https://www.sec.gov/Archives/edgar/data/1298946/000110465916118322/a16-10585_1ex3d1.htm" TargetMode="External"/><Relationship Id="rId98" Type="http://schemas.openxmlformats.org/officeDocument/2006/relationships/hyperlink" Target="https://www.sec.gov/Archives/edgar/data/1298946/000110465919028780/a19-9852_1ex3d1.htm" TargetMode="External"/><Relationship Id="rId99" Type="http://schemas.openxmlformats.org/officeDocument/2006/relationships/hyperlink" Target="https://www.sec.gov/Archives/edgar/data/1298946/000110465920100171/tm2029762d1_ex3-7.htm" TargetMode="External"/><Relationship Id="rId100" Type="http://schemas.openxmlformats.org/officeDocument/2006/relationships/hyperlink" Target="https://www.sec.gov/Archives/edgar/data/1298946/000129894623000068/drhfifthamendedandrestated.htm" TargetMode="External"/><Relationship Id="rId101" Type="http://schemas.openxmlformats.org/officeDocument/2006/relationships/hyperlink" Target="https://www.sec.gov/Archives/edgar/data/1298946/000095012310044312/c97408exv4w1.htm" TargetMode="External"/><Relationship Id="rId102" Type="http://schemas.openxmlformats.org/officeDocument/2006/relationships/hyperlink" Target="https://www.sec.gov/Archives/edgar/data/1298946/000110465920100171/tm2029762d1_ex4-1.htm" TargetMode="External"/><Relationship Id="rId103" Type="http://schemas.openxmlformats.org/officeDocument/2006/relationships/hyperlink" Target="https://www.sec.gov/Archives/edgar/data/1298946/000110465918054783/a18-24126_1ex10d1.htm" TargetMode="External"/><Relationship Id="rId105" Type="http://schemas.openxmlformats.org/officeDocument/2006/relationships/hyperlink" Target="https://www.sec.gov/Archives/edgar/data/1298946/000110465920100786/tm2029762d2_ex10-1.htm" TargetMode="External"/><Relationship Id="rId106" Type="http://schemas.openxmlformats.org/officeDocument/2006/relationships/hyperlink" Target="https://www.sec.gov/Archives/edgar/data/1298946/000119312514303130/d772031dex41.htm" TargetMode="External"/><Relationship Id="rId107" Type="http://schemas.openxmlformats.org/officeDocument/2006/relationships/hyperlink" Target="https://www.sec.gov/Archives/edgar/data/1298946/000129894615000019/drh_exhibit106x12312014.htm" TargetMode="External"/><Relationship Id="rId108" Type="http://schemas.openxmlformats.org/officeDocument/2006/relationships/hyperlink" Target="https://www.sec.gov/Archives/edgar/data/1298946/000129894622000096/wf_diamondrock-sixthamen.htm" TargetMode="External"/><Relationship Id="rId109" Type="http://schemas.openxmlformats.org/officeDocument/2006/relationships/hyperlink" Target="https://www.sec.gov/Archives/edgar/data/1298946/000110465925069789/tm2521322d1_ex10-1.htm" TargetMode="External"/><Relationship Id="rId110" Type="http://schemas.openxmlformats.org/officeDocument/2006/relationships/hyperlink" Target="https://www.sec.gov/Archives/edgar/data/1298946/000095012309071370/c93785exv10w1.htm" TargetMode="External"/><Relationship Id="rId111" Type="http://schemas.openxmlformats.org/officeDocument/2006/relationships/hyperlink" Target="https://www.sec.gov/Archives/edgar/data/1298946/000129894616000128/drh_def14a2016.htm" TargetMode="External"/><Relationship Id="rId112" Type="http://schemas.openxmlformats.org/officeDocument/2006/relationships/hyperlink" Target="https://www.sec.gov/Archives/edgar/data/1298946/000110465918074699/a18-42059_1ex10d1.htm#Exhibit10_1_022620" TargetMode="External"/><Relationship Id="rId113" Type="http://schemas.openxmlformats.org/officeDocument/2006/relationships/hyperlink" Target="https://www.sec.gov/Archives/edgar/data/1298946/000129894616000160/drh_exhibit103.htm" TargetMode="External"/><Relationship Id="rId114" Type="http://schemas.openxmlformats.org/officeDocument/2006/relationships/hyperlink" Target="https://www.sec.gov/Archives/edgar/data/1298946/000129894616000160/drh_exhibit104.htm" TargetMode="External"/><Relationship Id="rId115" Type="http://schemas.openxmlformats.org/officeDocument/2006/relationships/hyperlink" Target="https://www.sec.gov/Archives/edgar/data/1298946/000110465924055624/tm2413064d1_ex99-1.htm" TargetMode="External"/><Relationship Id="rId116" Type="http://schemas.openxmlformats.org/officeDocument/2006/relationships/hyperlink" Target="https://www.sec.gov/Archives/edgar/data/1298946/000129894625000015/drhex1014_form-rsuagreemen.htm" TargetMode="External"/><Relationship Id="rId117" Type="http://schemas.openxmlformats.org/officeDocument/2006/relationships/hyperlink" Target="https://www.sec.gov/Archives/edgar/data/1298946/000129894625000015/drhex1015_form-psuagreemen.htm" TargetMode="External"/><Relationship Id="rId118" Type="http://schemas.openxmlformats.org/officeDocument/2006/relationships/hyperlink" Target="https://www.sec.gov/Archives/edgar/data/1298946/000129894624000084/exhibit10152324.htm" TargetMode="External"/><Relationship Id="rId119" Type="http://schemas.openxmlformats.org/officeDocument/2006/relationships/hyperlink" Target="https://www.sec.gov/Archives/edgar/data/1298946/000129894624000084/exhibit10252324.htm" TargetMode="External"/><Relationship Id="rId120" Type="http://schemas.openxmlformats.org/officeDocument/2006/relationships/hyperlink" Target="https://www.sec.gov/Archives/edgar/data/1298946/000129894624000086/exhibit1016324.htm" TargetMode="External"/><Relationship Id="rId121" Type="http://schemas.openxmlformats.org/officeDocument/2006/relationships/hyperlink" Target="https://www.sec.gov/Archives/edgar/data/1298946/000129894625000015/drhex1019_formofseverance.htm" TargetMode="External"/><Relationship Id="rId124" Type="http://schemas.openxmlformats.org/officeDocument/2006/relationships/hyperlink" Target="https://www.sec.gov/Archives/edgar/data/1298946/000129894625000015/drhex19_cp4insidertrading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2026-02-27T10:13:53Z</dcterms:created>
  <dcterms:modified xsi:type="dcterms:W3CDTF">2026-02-27T10:13:53Z</dcterms:modified>
</cp:coreProperties>
</file>